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jc w:val="center"/>
        <w:rPr>
          <w:rFonts w:ascii="Calibri" w:cs="Calibri" w:eastAsia="Calibri" w:hAnsi="Calibri"/>
          <w:b w:val="1"/>
          <w:color w:val="008abe"/>
          <w:sz w:val="28"/>
          <w:szCs w:val="28"/>
        </w:rPr>
      </w:pPr>
      <w:bookmarkStart w:colFirst="0" w:colLast="0" w:name="_lpaxhhb3mfub" w:id="0"/>
      <w:bookmarkEnd w:id="0"/>
      <w:r w:rsidDel="00000000" w:rsidR="00000000" w:rsidRPr="00000000">
        <w:rPr>
          <w:rFonts w:ascii="Calibri" w:cs="Calibri" w:eastAsia="Calibri" w:hAnsi="Calibri"/>
          <w:b w:val="1"/>
          <w:color w:val="366091"/>
          <w:sz w:val="36"/>
          <w:szCs w:val="36"/>
          <w:rtl w:val="0"/>
        </w:rPr>
        <w:t xml:space="preserve">Resource Allocation Review Document for LEAs</w:t>
      </w:r>
      <w:r w:rsidDel="00000000" w:rsidR="00000000" w:rsidRPr="00000000">
        <w:rPr>
          <w:rFonts w:ascii="Calibri" w:cs="Calibri" w:eastAsia="Calibri" w:hAnsi="Calibri"/>
          <w:b w:val="1"/>
          <w:color w:val="366091"/>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2">
      <w:pPr>
        <w:pStyle w:val="Heading2"/>
        <w:tabs>
          <w:tab w:val="left" w:leader="none" w:pos="0"/>
        </w:tabs>
        <w:spacing w:before="120" w:line="240" w:lineRule="auto"/>
        <w:rPr>
          <w:rFonts w:ascii="Calibri" w:cs="Calibri" w:eastAsia="Calibri" w:hAnsi="Calibri"/>
          <w:b w:val="1"/>
          <w:color w:val="008abe"/>
          <w:sz w:val="28"/>
          <w:szCs w:val="28"/>
        </w:rPr>
      </w:pPr>
      <w:bookmarkStart w:colFirst="0" w:colLast="0" w:name="_gih810elgzlb" w:id="1"/>
      <w:bookmarkEnd w:id="1"/>
      <w:r w:rsidDel="00000000" w:rsidR="00000000" w:rsidRPr="00000000">
        <w:rPr>
          <w:rFonts w:ascii="Calibri" w:cs="Calibri" w:eastAsia="Calibri" w:hAnsi="Calibri"/>
          <w:b w:val="1"/>
          <w:color w:val="008abe"/>
          <w:sz w:val="28"/>
          <w:szCs w:val="28"/>
          <w:rtl w:val="0"/>
        </w:rPr>
        <w:t xml:space="preserve">How Rhode Island is Addressing the Resource Allocation Review (RAR) Requirements:</w:t>
      </w:r>
    </w:p>
    <w:p w:rsidR="00000000" w:rsidDel="00000000" w:rsidP="00000000" w:rsidRDefault="00000000" w:rsidRPr="00000000" w14:paraId="00000003">
      <w:pPr>
        <w:tabs>
          <w:tab w:val="left" w:leader="none" w:pos="0"/>
        </w:tabs>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ESSA lays out specific requirements for RARs for each level of the educational system – SEA, LEA, and schools. The figure below describes the federal requirement for each entity, as well as how these requirements will be met in Rhode Island</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04">
      <w:pPr>
        <w:tabs>
          <w:tab w:val="left" w:leader="none" w:pos="90"/>
        </w:tabs>
        <w:spacing w:after="240" w:line="240" w:lineRule="auto"/>
        <w:jc w:val="center"/>
        <w:rPr>
          <w:rFonts w:ascii="Calibri" w:cs="Calibri" w:eastAsia="Calibri" w:hAnsi="Calibri"/>
          <w:strike w:val="1"/>
        </w:rPr>
      </w:pPr>
      <w:r w:rsidDel="00000000" w:rsidR="00000000" w:rsidRPr="00000000">
        <w:rPr>
          <w:rFonts w:ascii="Calibri" w:cs="Calibri" w:eastAsia="Calibri" w:hAnsi="Calibri"/>
          <w:strike w:val="1"/>
        </w:rPr>
        <w:drawing>
          <wp:inline distB="114300" distT="114300" distL="114300" distR="114300">
            <wp:extent cx="6858000" cy="30353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left" w:leader="none" w:pos="90"/>
        </w:tabs>
        <w:spacing w:after="240" w:line="240" w:lineRule="auto"/>
        <w:jc w:val="both"/>
        <w:rPr>
          <w:rFonts w:ascii="Calibri" w:cs="Calibri" w:eastAsia="Calibri" w:hAnsi="Calibri"/>
          <w:b w:val="1"/>
          <w:color w:val="008abe"/>
          <w:sz w:val="28"/>
          <w:szCs w:val="28"/>
        </w:rPr>
      </w:pPr>
      <w:r w:rsidDel="00000000" w:rsidR="00000000" w:rsidRPr="00000000">
        <w:rPr>
          <w:rFonts w:ascii="Calibri" w:cs="Calibri" w:eastAsia="Calibri" w:hAnsi="Calibri"/>
          <w:rtl w:val="0"/>
        </w:rPr>
        <w:t xml:space="preserve">Using the</w:t>
      </w:r>
      <w:r w:rsidDel="00000000" w:rsidR="00000000" w:rsidRPr="00000000">
        <w:rPr>
          <w:rFonts w:ascii="Calibri" w:cs="Calibri" w:eastAsia="Calibri" w:hAnsi="Calibri"/>
          <w:color w:val="366091"/>
          <w:rtl w:val="0"/>
        </w:rPr>
        <w:t xml:space="preserve"> </w:t>
      </w:r>
      <w:hyperlink r:id="rId8">
        <w:r w:rsidDel="00000000" w:rsidR="00000000" w:rsidRPr="00000000">
          <w:rPr>
            <w:rFonts w:ascii="Calibri" w:cs="Calibri" w:eastAsia="Calibri" w:hAnsi="Calibri"/>
            <w:color w:val="1155cc"/>
            <w:u w:val="single"/>
            <w:rtl w:val="0"/>
          </w:rPr>
          <w:t xml:space="preserve">District Report Card</w:t>
        </w:r>
      </w:hyperlink>
      <w:r w:rsidDel="00000000" w:rsidR="00000000" w:rsidRPr="00000000">
        <w:rPr>
          <w:rFonts w:ascii="Calibri" w:cs="Calibri" w:eastAsia="Calibri" w:hAnsi="Calibri"/>
          <w:color w:val="366091"/>
          <w:rtl w:val="0"/>
        </w:rPr>
        <w:t xml:space="preserve">, </w:t>
      </w:r>
      <w:r w:rsidDel="00000000" w:rsidR="00000000" w:rsidRPr="00000000">
        <w:rPr>
          <w:rFonts w:ascii="Calibri" w:cs="Calibri" w:eastAsia="Calibri" w:hAnsi="Calibri"/>
          <w:rtl w:val="0"/>
        </w:rPr>
        <w:t xml:space="preserve">LEAs can find the list of schools with student subgroups identified for TSI and/or ATSI.  This can be found under the </w:t>
      </w:r>
      <w:r w:rsidDel="00000000" w:rsidR="00000000" w:rsidRPr="00000000">
        <w:rPr>
          <w:rFonts w:ascii="Calibri" w:cs="Calibri" w:eastAsia="Calibri" w:hAnsi="Calibri"/>
          <w:i w:val="1"/>
          <w:rtl w:val="0"/>
        </w:rPr>
        <w:t xml:space="preserve">Accountability</w:t>
      </w:r>
      <w:r w:rsidDel="00000000" w:rsidR="00000000" w:rsidRPr="00000000">
        <w:rPr>
          <w:rFonts w:ascii="Calibri" w:cs="Calibri" w:eastAsia="Calibri" w:hAnsi="Calibri"/>
          <w:rtl w:val="0"/>
        </w:rPr>
        <w:t xml:space="preserve"> tab, then by clicking the </w:t>
      </w:r>
      <w:r w:rsidDel="00000000" w:rsidR="00000000" w:rsidRPr="00000000">
        <w:rPr>
          <w:rFonts w:ascii="Calibri" w:cs="Calibri" w:eastAsia="Calibri" w:hAnsi="Calibri"/>
          <w:i w:val="1"/>
          <w:rtl w:val="0"/>
        </w:rPr>
        <w:t xml:space="preserve">School Summary</w:t>
      </w:r>
      <w:r w:rsidDel="00000000" w:rsidR="00000000" w:rsidRPr="00000000">
        <w:rPr>
          <w:rFonts w:ascii="Calibri" w:cs="Calibri" w:eastAsia="Calibri" w:hAnsi="Calibri"/>
          <w:rtl w:val="0"/>
        </w:rPr>
        <w:t xml:space="preserve"> tab.</w:t>
      </w:r>
      <w:r w:rsidDel="00000000" w:rsidR="00000000" w:rsidRPr="00000000">
        <w:rPr>
          <w:rtl w:val="0"/>
        </w:rPr>
      </w:r>
    </w:p>
    <w:p w:rsidR="00000000" w:rsidDel="00000000" w:rsidP="00000000" w:rsidRDefault="00000000" w:rsidRPr="00000000" w14:paraId="00000006">
      <w:pPr>
        <w:pStyle w:val="Heading2"/>
        <w:tabs>
          <w:tab w:val="left" w:leader="none" w:pos="0"/>
        </w:tabs>
        <w:spacing w:before="120" w:line="240" w:lineRule="auto"/>
        <w:rPr>
          <w:rFonts w:ascii="Calibri" w:cs="Calibri" w:eastAsia="Calibri" w:hAnsi="Calibri"/>
          <w:b w:val="1"/>
          <w:color w:val="008abe"/>
          <w:sz w:val="28"/>
          <w:szCs w:val="28"/>
        </w:rPr>
      </w:pPr>
      <w:bookmarkStart w:colFirst="0" w:colLast="0" w:name="_8wchot8xao3g" w:id="2"/>
      <w:bookmarkEnd w:id="2"/>
      <w:r w:rsidDel="00000000" w:rsidR="00000000" w:rsidRPr="00000000">
        <w:rPr>
          <w:rFonts w:ascii="Calibri" w:cs="Calibri" w:eastAsia="Calibri" w:hAnsi="Calibri"/>
          <w:b w:val="1"/>
          <w:color w:val="008abe"/>
          <w:sz w:val="28"/>
          <w:szCs w:val="28"/>
          <w:rtl w:val="0"/>
        </w:rPr>
        <w:t xml:space="preserve">RIDE Supports for Completing the RAR Process:</w:t>
      </w:r>
    </w:p>
    <w:p w:rsidR="00000000" w:rsidDel="00000000" w:rsidP="00000000" w:rsidRDefault="00000000" w:rsidRPr="00000000" w14:paraId="00000007">
      <w:pPr>
        <w:tabs>
          <w:tab w:val="left" w:leader="none" w:pos="0"/>
        </w:tabs>
        <w:spacing w:before="120" w:line="240" w:lineRule="auto"/>
        <w:rPr>
          <w:rFonts w:ascii="Calibri" w:cs="Calibri" w:eastAsia="Calibri" w:hAnsi="Calibri"/>
        </w:rPr>
      </w:pPr>
      <w:r w:rsidDel="00000000" w:rsidR="00000000" w:rsidRPr="00000000">
        <w:rPr>
          <w:rFonts w:ascii="Calibri" w:cs="Calibri" w:eastAsia="Calibri" w:hAnsi="Calibri"/>
          <w:rtl w:val="0"/>
        </w:rPr>
        <w:t xml:space="preserve">LEAs can use </w:t>
      </w:r>
      <w:r w:rsidDel="00000000" w:rsidR="00000000" w:rsidRPr="00000000">
        <w:rPr>
          <w:rFonts w:ascii="Calibri" w:cs="Calibri" w:eastAsia="Calibri" w:hAnsi="Calibri"/>
          <w:rtl w:val="0"/>
        </w:rPr>
        <w:t xml:space="preserve">RIDE’s </w:t>
      </w:r>
      <w:r w:rsidDel="00000000" w:rsidR="00000000" w:rsidRPr="00000000">
        <w:rPr>
          <w:rFonts w:ascii="Calibri" w:cs="Calibri" w:eastAsia="Calibri" w:hAnsi="Calibri"/>
          <w:rtl w:val="0"/>
        </w:rPr>
        <w:t xml:space="preserve">Resource Allocation Review Process Guide</w:t>
      </w:r>
      <w:r w:rsidDel="00000000" w:rsidR="00000000" w:rsidRPr="00000000">
        <w:rPr>
          <w:rFonts w:ascii="Calibri" w:cs="Calibri" w:eastAsia="Calibri" w:hAnsi="Calibri"/>
          <w:rtl w:val="0"/>
        </w:rPr>
        <w:t xml:space="preserve"> (coming soon!)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color w:val="366091"/>
          <w:rtl w:val="0"/>
        </w:rPr>
        <w:t xml:space="preserve"> </w:t>
      </w:r>
      <w:hyperlink r:id="rId9">
        <w:r w:rsidDel="00000000" w:rsidR="00000000" w:rsidRPr="00000000">
          <w:rPr>
            <w:rFonts w:ascii="Calibri" w:cs="Calibri" w:eastAsia="Calibri" w:hAnsi="Calibri"/>
            <w:color w:val="1155cc"/>
            <w:u w:val="single"/>
            <w:rtl w:val="0"/>
          </w:rPr>
          <w:t xml:space="preserve">RIDE's UCOA Resource Allocation Dashboards</w:t>
        </w:r>
      </w:hyperlink>
      <w:r w:rsidDel="00000000" w:rsidR="00000000" w:rsidRPr="00000000">
        <w:rPr>
          <w:rFonts w:ascii="Calibri" w:cs="Calibri" w:eastAsia="Calibri" w:hAnsi="Calibri"/>
          <w:color w:val="366091"/>
          <w:rtl w:val="0"/>
        </w:rPr>
        <w:t xml:space="preserve"> </w:t>
      </w:r>
      <w:r w:rsidDel="00000000" w:rsidR="00000000" w:rsidRPr="00000000">
        <w:rPr>
          <w:rFonts w:ascii="Calibri" w:cs="Calibri" w:eastAsia="Calibri" w:hAnsi="Calibri"/>
          <w:rtl w:val="0"/>
        </w:rPr>
        <w:t xml:space="preserve">when conducting their RAR. The Process Guide outlines the requirements and procedures for RIDE, LEAs, and schools in terms of conducting resource allocation reviews and supporting low performing students subgroups, as well as, </w:t>
      </w:r>
      <w:r w:rsidDel="00000000" w:rsidR="00000000" w:rsidRPr="00000000">
        <w:rPr>
          <w:rFonts w:ascii="Calibri" w:cs="Calibri" w:eastAsia="Calibri" w:hAnsi="Calibri"/>
          <w:rtl w:val="0"/>
        </w:rPr>
        <w:t xml:space="preserve">assist</w:t>
      </w:r>
      <w:r w:rsidDel="00000000" w:rsidR="00000000" w:rsidRPr="00000000">
        <w:rPr>
          <w:rFonts w:ascii="Calibri" w:cs="Calibri" w:eastAsia="Calibri" w:hAnsi="Calibri"/>
          <w:rtl w:val="0"/>
        </w:rPr>
        <w:t xml:space="preserve">s in</w:t>
      </w:r>
      <w:r w:rsidDel="00000000" w:rsidR="00000000" w:rsidRPr="00000000">
        <w:rPr>
          <w:rFonts w:ascii="Calibri" w:cs="Calibri" w:eastAsia="Calibri" w:hAnsi="Calibri"/>
          <w:rtl w:val="0"/>
        </w:rPr>
        <w:t xml:space="preserve"> meeting these requirements.    LEAs are encouraged to think about</w:t>
      </w:r>
      <w:r w:rsidDel="00000000" w:rsidR="00000000" w:rsidRPr="00000000">
        <w:rPr>
          <w:rFonts w:ascii="Calibri" w:cs="Calibri" w:eastAsia="Calibri" w:hAnsi="Calibri"/>
          <w:color w:val="366091"/>
          <w:rtl w:val="0"/>
        </w:rPr>
        <w:t xml:space="preserve"> </w:t>
      </w:r>
      <w:hyperlink r:id="rId10">
        <w:r w:rsidDel="00000000" w:rsidR="00000000" w:rsidRPr="00000000">
          <w:rPr>
            <w:rFonts w:ascii="Calibri" w:cs="Calibri" w:eastAsia="Calibri" w:hAnsi="Calibri"/>
            <w:color w:val="1155cc"/>
            <w:u w:val="single"/>
            <w:rtl w:val="0"/>
          </w:rPr>
          <w:t xml:space="preserve">fiscal and educational resources</w:t>
        </w:r>
      </w:hyperlink>
      <w:r w:rsidDel="00000000" w:rsidR="00000000" w:rsidRPr="00000000">
        <w:rPr>
          <w:rFonts w:ascii="Calibri" w:cs="Calibri" w:eastAsia="Calibri" w:hAnsi="Calibri"/>
          <w:color w:val="366091"/>
          <w:rtl w:val="0"/>
        </w:rPr>
        <w:t xml:space="preserve">,</w:t>
      </w:r>
      <w:r w:rsidDel="00000000" w:rsidR="00000000" w:rsidRPr="00000000">
        <w:rPr>
          <w:rFonts w:ascii="Calibri" w:cs="Calibri" w:eastAsia="Calibri" w:hAnsi="Calibri"/>
          <w:rtl w:val="0"/>
        </w:rPr>
        <w:t xml:space="preserve"> such as, federal and local funding, staffing, schedule, supplies/materials, equipment, programs/services, community collaboration, partnerships, and facilities.  These sources will assist you when completing the RAR. </w:t>
      </w:r>
    </w:p>
    <w:p w:rsidR="00000000" w:rsidDel="00000000" w:rsidP="00000000" w:rsidRDefault="00000000" w:rsidRPr="00000000" w14:paraId="00000008">
      <w:pPr>
        <w:tabs>
          <w:tab w:val="left" w:leader="none" w:pos="0"/>
        </w:tabs>
        <w:spacing w:before="120" w:line="240" w:lineRule="auto"/>
        <w:rPr>
          <w:rFonts w:ascii="Calibri" w:cs="Calibri" w:eastAsia="Calibri" w:hAnsi="Calibri"/>
          <w:b w:val="1"/>
          <w:color w:val="36609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tabs>
          <w:tab w:val="left" w:leader="none" w:pos="0"/>
        </w:tabs>
        <w:spacing w:before="120" w:line="240" w:lineRule="auto"/>
        <w:rPr>
          <w:rFonts w:ascii="Calibri" w:cs="Calibri" w:eastAsia="Calibri" w:hAnsi="Calibri"/>
          <w:b w:val="1"/>
          <w:color w:val="008abe"/>
          <w:sz w:val="28"/>
          <w:szCs w:val="28"/>
        </w:rPr>
      </w:pPr>
      <w:bookmarkStart w:colFirst="0" w:colLast="0" w:name="_msp8p34sehxl" w:id="3"/>
      <w:bookmarkEnd w:id="3"/>
      <w:r w:rsidDel="00000000" w:rsidR="00000000" w:rsidRPr="00000000">
        <w:rPr>
          <w:rFonts w:ascii="Calibri" w:cs="Calibri" w:eastAsia="Calibri" w:hAnsi="Calibri"/>
          <w:b w:val="1"/>
          <w:color w:val="008abe"/>
          <w:sz w:val="28"/>
          <w:szCs w:val="28"/>
          <w:rtl w:val="0"/>
        </w:rPr>
        <w:t xml:space="preserve">Resource Allocation Review Process</w:t>
      </w:r>
    </w:p>
    <w:p w:rsidR="00000000" w:rsidDel="00000000" w:rsidP="00000000" w:rsidRDefault="00000000" w:rsidRPr="00000000" w14:paraId="0000000A">
      <w:pPr>
        <w:tabs>
          <w:tab w:val="left" w:leader="none" w:pos="0"/>
        </w:tabs>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The following process will be utilized by RIDE when facilitating a </w:t>
      </w:r>
      <w:r w:rsidDel="00000000" w:rsidR="00000000" w:rsidRPr="00000000">
        <w:rPr>
          <w:rFonts w:ascii="Calibri" w:cs="Calibri" w:eastAsia="Calibri" w:hAnsi="Calibri"/>
          <w:i w:val="1"/>
          <w:rtl w:val="0"/>
        </w:rPr>
        <w:t xml:space="preserve">Comprehensive Review </w:t>
      </w:r>
      <w:r w:rsidDel="00000000" w:rsidR="00000000" w:rsidRPr="00000000">
        <w:rPr>
          <w:rFonts w:ascii="Calibri" w:cs="Calibri" w:eastAsia="Calibri" w:hAnsi="Calibri"/>
          <w:rtl w:val="0"/>
        </w:rPr>
        <w:t xml:space="preserve">for LEAs with a significant number of schools identified for CSI.  LEAs are encouraged to follow the same or comparable process when conducting RARs within their district.</w:t>
      </w:r>
    </w:p>
    <w:p w:rsidR="00000000" w:rsidDel="00000000" w:rsidP="00000000" w:rsidRDefault="00000000" w:rsidRPr="00000000" w14:paraId="0000000B">
      <w:pPr>
        <w:tabs>
          <w:tab w:val="left" w:leader="none" w:pos="0"/>
        </w:tabs>
        <w:spacing w:before="120" w:line="240" w:lineRule="auto"/>
        <w:rPr>
          <w:rFonts w:ascii="Calibri" w:cs="Calibri" w:eastAsia="Calibri" w:hAnsi="Calibri"/>
        </w:rPr>
      </w:pPr>
      <w:r w:rsidDel="00000000" w:rsidR="00000000" w:rsidRPr="00000000">
        <w:rPr>
          <w:rFonts w:ascii="Calibri" w:cs="Calibri" w:eastAsia="Calibri" w:hAnsi="Calibri"/>
          <w:i w:val="1"/>
          <w:rtl w:val="0"/>
        </w:rPr>
        <w:t xml:space="preserve">Comprehensive Review </w:t>
      </w:r>
      <w:r w:rsidDel="00000000" w:rsidR="00000000" w:rsidRPr="00000000">
        <w:rPr>
          <w:rFonts w:ascii="Calibri" w:cs="Calibri" w:eastAsia="Calibri" w:hAnsi="Calibri"/>
          <w:rtl w:val="0"/>
        </w:rPr>
        <w:t xml:space="preserve">steps to complete the Resource Allocation Review include:</w:t>
      </w:r>
    </w:p>
    <w:p w:rsidR="00000000" w:rsidDel="00000000" w:rsidP="00000000" w:rsidRDefault="00000000" w:rsidRPr="00000000" w14:paraId="0000000C">
      <w:pPr>
        <w:numPr>
          <w:ilvl w:val="0"/>
          <w:numId w:val="1"/>
        </w:numPr>
        <w:tabs>
          <w:tab w:val="left" w:leader="none" w:pos="0"/>
        </w:tabs>
        <w:spacing w:after="0" w:afterAutospacing="0" w:before="12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LEA assembles a RAR team.  </w:t>
      </w:r>
    </w:p>
    <w:p w:rsidR="00000000" w:rsidDel="00000000" w:rsidP="00000000" w:rsidRDefault="00000000" w:rsidRPr="00000000" w14:paraId="0000000D">
      <w:pPr>
        <w:numPr>
          <w:ilvl w:val="0"/>
          <w:numId w:val="1"/>
        </w:numPr>
        <w:tabs>
          <w:tab w:val="left" w:leader="none" w:pos="0"/>
        </w:tabs>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RAR team engages in the</w:t>
      </w:r>
      <w:r w:rsidDel="00000000" w:rsidR="00000000" w:rsidRPr="00000000">
        <w:rPr>
          <w:rFonts w:ascii="Calibri" w:cs="Calibri" w:eastAsia="Calibri" w:hAnsi="Calibri"/>
          <w:i w:val="1"/>
          <w:rtl w:val="0"/>
        </w:rPr>
        <w:t xml:space="preserve"> RAR Preparation and Steps for the RIDE Comprehensive Resource Allocation Review.</w:t>
      </w:r>
      <w:r w:rsidDel="00000000" w:rsidR="00000000" w:rsidRPr="00000000">
        <w:rPr>
          <w:rFonts w:ascii="Calibri" w:cs="Calibri" w:eastAsia="Calibri" w:hAnsi="Calibri"/>
          <w:rtl w:val="0"/>
        </w:rPr>
        <w:t xml:space="preserve"> (coming soon! - </w:t>
      </w:r>
      <w:r w:rsidDel="00000000" w:rsidR="00000000" w:rsidRPr="00000000">
        <w:rPr>
          <w:rFonts w:ascii="Calibri" w:cs="Calibri" w:eastAsia="Calibri" w:hAnsi="Calibri"/>
          <w:rtl w:val="0"/>
        </w:rPr>
        <w:t xml:space="preserve">pages in the RAR Process Guide</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numPr>
          <w:ilvl w:val="0"/>
          <w:numId w:val="1"/>
        </w:numPr>
        <w:tabs>
          <w:tab w:val="left" w:leader="none" w:pos="0"/>
        </w:tabs>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RAR team answers the questions outlined below while participating in the </w:t>
      </w:r>
      <w:r w:rsidDel="00000000" w:rsidR="00000000" w:rsidRPr="00000000">
        <w:rPr>
          <w:rFonts w:ascii="Calibri" w:cs="Calibri" w:eastAsia="Calibri" w:hAnsi="Calibri"/>
          <w:i w:val="1"/>
          <w:rtl w:val="0"/>
        </w:rPr>
        <w:t xml:space="preserve">RAR Preparation and Steps for the RIDE Comprehensive Resource Allocation Review.</w:t>
      </w:r>
      <w:r w:rsidDel="00000000" w:rsidR="00000000" w:rsidRPr="00000000">
        <w:rPr>
          <w:rtl w:val="0"/>
        </w:rPr>
      </w:r>
    </w:p>
    <w:p w:rsidR="00000000" w:rsidDel="00000000" w:rsidP="00000000" w:rsidRDefault="00000000" w:rsidRPr="00000000" w14:paraId="0000000F">
      <w:pPr>
        <w:numPr>
          <w:ilvl w:val="0"/>
          <w:numId w:val="1"/>
        </w:numPr>
        <w:tabs>
          <w:tab w:val="left" w:leader="none" w:pos="0"/>
        </w:tabs>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plan for addressing resource inequities may be included in the LEA Strategic Plan, and must be included in CSIPs/SIPs for identified schools. </w:t>
      </w:r>
      <w:r w:rsidDel="00000000" w:rsidR="00000000" w:rsidRPr="00000000">
        <w:rPr>
          <w:rtl w:val="0"/>
        </w:rPr>
      </w:r>
    </w:p>
    <w:p w:rsidR="00000000" w:rsidDel="00000000" w:rsidP="00000000" w:rsidRDefault="00000000" w:rsidRPr="00000000" w14:paraId="00000010">
      <w:pPr>
        <w:numPr>
          <w:ilvl w:val="0"/>
          <w:numId w:val="1"/>
        </w:numPr>
        <w:tabs>
          <w:tab w:val="left" w:leader="none" w:pos="0"/>
        </w:tabs>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School(s) identified as CSI and schools with identified ATSI subgroups will provide evidence of the RAR process by completing fields within the SPS.</w:t>
      </w:r>
    </w:p>
    <w:p w:rsidR="00000000" w:rsidDel="00000000" w:rsidP="00000000" w:rsidRDefault="00000000" w:rsidRPr="00000000" w14:paraId="00000011">
      <w:pPr>
        <w:numPr>
          <w:ilvl w:val="0"/>
          <w:numId w:val="1"/>
        </w:numPr>
        <w:tabs>
          <w:tab w:val="left" w:leader="none" w:pos="0"/>
        </w:tabs>
        <w:spacing w:before="0" w:before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RIDE will review the Resource Allocation Review Document for LEAs with CSI school(s).  </w:t>
      </w:r>
    </w:p>
    <w:p w:rsidR="00000000" w:rsidDel="00000000" w:rsidP="00000000" w:rsidRDefault="00000000" w:rsidRPr="00000000" w14:paraId="00000012">
      <w:pPr>
        <w:tabs>
          <w:tab w:val="left" w:leader="none" w:pos="0"/>
        </w:tabs>
        <w:spacing w:before="120" w:line="276" w:lineRule="auto"/>
        <w:ind w:left="0" w:firstLine="0"/>
        <w:rPr>
          <w:rFonts w:ascii="Calibri" w:cs="Calibri" w:eastAsia="Calibri" w:hAnsi="Calibri"/>
          <w:color w:val="366091"/>
          <w:sz w:val="24"/>
          <w:szCs w:val="24"/>
          <w:shd w:fill="fff2cc" w:val="clear"/>
        </w:rPr>
      </w:pPr>
      <w:r w:rsidDel="00000000" w:rsidR="00000000" w:rsidRPr="00000000">
        <w:br w:type="page"/>
      </w:r>
      <w:r w:rsidDel="00000000" w:rsidR="00000000" w:rsidRPr="00000000">
        <w:rPr>
          <w:rtl w:val="0"/>
        </w:rPr>
      </w:r>
    </w:p>
    <w:p w:rsidR="00000000" w:rsidDel="00000000" w:rsidP="00000000" w:rsidRDefault="00000000" w:rsidRPr="00000000" w14:paraId="00000013">
      <w:pPr>
        <w:tabs>
          <w:tab w:val="left" w:leader="none" w:pos="0"/>
        </w:tabs>
        <w:spacing w:before="120" w:line="276" w:lineRule="auto"/>
        <w:ind w:left="0" w:firstLine="0"/>
        <w:rPr>
          <w:rFonts w:ascii="Calibri" w:cs="Calibri" w:eastAsia="Calibri" w:hAnsi="Calibri"/>
          <w:color w:val="366091"/>
          <w:sz w:val="24"/>
          <w:szCs w:val="24"/>
        </w:rPr>
      </w:pPr>
      <w:r w:rsidDel="00000000" w:rsidR="00000000" w:rsidRPr="00000000">
        <w:rPr>
          <w:rtl w:val="0"/>
        </w:rPr>
      </w:r>
    </w:p>
    <w:p w:rsidR="00000000" w:rsidDel="00000000" w:rsidP="00000000" w:rsidRDefault="00000000" w:rsidRPr="00000000" w14:paraId="00000014">
      <w:pPr>
        <w:tabs>
          <w:tab w:val="left" w:leader="none" w:pos="0"/>
        </w:tabs>
        <w:spacing w:before="120" w:line="240" w:lineRule="auto"/>
        <w:rPr>
          <w:rFonts w:ascii="Calibri" w:cs="Calibri" w:eastAsia="Calibri" w:hAnsi="Calibri"/>
          <w:b w:val="1"/>
          <w:color w:val="366091"/>
          <w:sz w:val="24"/>
          <w:szCs w:val="24"/>
        </w:rPr>
      </w:pPr>
      <w:r w:rsidDel="00000000" w:rsidR="00000000" w:rsidRPr="00000000">
        <w:rPr>
          <w:rFonts w:ascii="Calibri" w:cs="Calibri" w:eastAsia="Calibri" w:hAnsi="Calibri"/>
          <w:b w:val="1"/>
          <w:color w:val="366091"/>
          <w:sz w:val="24"/>
          <w:szCs w:val="24"/>
          <w:rtl w:val="0"/>
        </w:rPr>
        <w:t xml:space="preserve">Please complete the following questions</w:t>
      </w:r>
      <w:r w:rsidDel="00000000" w:rsidR="00000000" w:rsidRPr="00000000">
        <w:rPr>
          <w:rFonts w:ascii="Calibri" w:cs="Calibri" w:eastAsia="Calibri" w:hAnsi="Calibri"/>
          <w:b w:val="1"/>
          <w:color w:val="366091"/>
          <w:sz w:val="24"/>
          <w:szCs w:val="24"/>
          <w:vertAlign w:val="superscript"/>
        </w:rPr>
        <w:footnoteReference w:customMarkFollows="0" w:id="1"/>
      </w:r>
      <w:r w:rsidDel="00000000" w:rsidR="00000000" w:rsidRPr="00000000">
        <w:rPr>
          <w:rFonts w:ascii="Calibri" w:cs="Calibri" w:eastAsia="Calibri" w:hAnsi="Calibri"/>
          <w:b w:val="1"/>
          <w:color w:val="366091"/>
          <w:sz w:val="24"/>
          <w:szCs w:val="24"/>
          <w:rtl w:val="0"/>
        </w:rPr>
        <w:t xml:space="preserve">: </w:t>
      </w:r>
      <w:r w:rsidDel="00000000" w:rsidR="00000000" w:rsidRPr="00000000">
        <w:rPr>
          <w:rtl w:val="0"/>
        </w:rPr>
      </w:r>
    </w:p>
    <w:p w:rsidR="00000000" w:rsidDel="00000000" w:rsidP="00000000" w:rsidRDefault="00000000" w:rsidRPr="00000000" w14:paraId="00000015">
      <w:pPr>
        <w:spacing w:after="200" w:line="240" w:lineRule="auto"/>
        <w:rPr>
          <w:rFonts w:ascii="Calibri" w:cs="Calibri" w:eastAsia="Calibri" w:hAnsi="Calibri"/>
          <w:i w:val="1"/>
          <w:color w:val="366091"/>
          <w:sz w:val="24"/>
          <w:szCs w:val="24"/>
        </w:rPr>
      </w:pPr>
      <w:bookmarkStart w:colFirst="0" w:colLast="0" w:name="_5funv4omz4wv" w:id="4"/>
      <w:bookmarkEnd w:id="4"/>
      <w:r w:rsidDel="00000000" w:rsidR="00000000" w:rsidRPr="00000000">
        <w:rPr>
          <w:rFonts w:ascii="Calibri" w:cs="Calibri" w:eastAsia="Calibri" w:hAnsi="Calibri"/>
          <w:i w:val="1"/>
          <w:color w:val="366091"/>
          <w:sz w:val="24"/>
          <w:szCs w:val="24"/>
          <w:rtl w:val="0"/>
        </w:rPr>
        <w:t xml:space="preserve">Who participated in the RAR?  Please include their name and role.</w:t>
      </w:r>
    </w:p>
    <w:tbl>
      <w:tblPr>
        <w:tblStyle w:val="Table1"/>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571.7968749999998" w:hRule="atLeast"/>
          <w:tblHeader w:val="0"/>
        </w:trPr>
        <w:tc>
          <w:tcPr>
            <w:shd w:fill="auto" w:val="clear"/>
          </w:tcPr>
          <w:p w:rsidR="00000000" w:rsidDel="00000000" w:rsidP="00000000" w:rsidRDefault="00000000" w:rsidRPr="00000000" w14:paraId="00000016">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1"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17">
            <w:pPr>
              <w:spacing w:after="160" w:line="24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18">
      <w:pPr>
        <w:spacing w:after="200" w:line="240" w:lineRule="auto"/>
        <w:rPr/>
      </w:pPr>
      <w:bookmarkStart w:colFirst="0" w:colLast="0" w:name="_ysr720gcjfkx" w:id="5"/>
      <w:bookmarkEnd w:id="5"/>
      <w:r w:rsidDel="00000000" w:rsidR="00000000" w:rsidRPr="00000000">
        <w:rPr>
          <w:rtl w:val="0"/>
        </w:rPr>
      </w:r>
    </w:p>
    <w:p w:rsidR="00000000" w:rsidDel="00000000" w:rsidP="00000000" w:rsidRDefault="00000000" w:rsidRPr="00000000" w14:paraId="00000019">
      <w:pPr>
        <w:spacing w:after="200" w:line="240" w:lineRule="auto"/>
        <w:rPr>
          <w:rFonts w:ascii="Calibri" w:cs="Calibri" w:eastAsia="Calibri" w:hAnsi="Calibri"/>
          <w:i w:val="1"/>
          <w:color w:val="366091"/>
          <w:sz w:val="24"/>
          <w:szCs w:val="24"/>
        </w:rPr>
      </w:pPr>
      <w:bookmarkStart w:colFirst="0" w:colLast="0" w:name="_3rdcrjn" w:id="6"/>
      <w:bookmarkEnd w:id="6"/>
      <w:r w:rsidDel="00000000" w:rsidR="00000000" w:rsidRPr="00000000">
        <w:rPr>
          <w:rFonts w:ascii="Calibri" w:cs="Calibri" w:eastAsia="Calibri" w:hAnsi="Calibri"/>
          <w:i w:val="1"/>
          <w:color w:val="366091"/>
          <w:sz w:val="24"/>
          <w:szCs w:val="24"/>
          <w:rtl w:val="0"/>
        </w:rPr>
        <w:t xml:space="preserve">Name the low-performing subgroups and describe the RAR process.   </w:t>
      </w:r>
      <w:r w:rsidDel="00000000" w:rsidR="00000000" w:rsidRPr="00000000">
        <w:rPr>
          <w:rtl w:val="0"/>
        </w:rPr>
      </w:r>
    </w:p>
    <w:tbl>
      <w:tblPr>
        <w:tblStyle w:val="Table2"/>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571.7968749999998" w:hRule="atLeast"/>
          <w:tblHeader w:val="0"/>
        </w:trPr>
        <w:tc>
          <w:tcPr>
            <w:shd w:fill="auto" w:val="clear"/>
          </w:tcPr>
          <w:p w:rsidR="00000000" w:rsidDel="00000000" w:rsidP="00000000" w:rsidRDefault="00000000" w:rsidRPr="00000000" w14:paraId="0000001A">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2"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1B">
            <w:pPr>
              <w:spacing w:after="160" w:line="24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6091"/>
        </w:rPr>
      </w:pPr>
      <w:r w:rsidDel="00000000" w:rsidR="00000000" w:rsidRPr="00000000">
        <w:rPr>
          <w:rtl w:val="0"/>
        </w:rPr>
      </w:r>
    </w:p>
    <w:p w:rsidR="00000000" w:rsidDel="00000000" w:rsidP="00000000" w:rsidRDefault="00000000" w:rsidRPr="00000000" w14:paraId="0000001D">
      <w:pPr>
        <w:spacing w:after="200" w:line="240" w:lineRule="auto"/>
        <w:rPr>
          <w:rFonts w:ascii="Calibri" w:cs="Calibri" w:eastAsia="Calibri" w:hAnsi="Calibri"/>
          <w:i w:val="1"/>
          <w:color w:val="366091"/>
          <w:sz w:val="24"/>
          <w:szCs w:val="24"/>
        </w:rPr>
      </w:pPr>
      <w:bookmarkStart w:colFirst="0" w:colLast="0" w:name="_af7qihewynnc" w:id="7"/>
      <w:bookmarkEnd w:id="7"/>
      <w:r w:rsidDel="00000000" w:rsidR="00000000" w:rsidRPr="00000000">
        <w:rPr>
          <w:rFonts w:ascii="Calibri" w:cs="Calibri" w:eastAsia="Calibri" w:hAnsi="Calibri"/>
          <w:i w:val="1"/>
          <w:color w:val="366091"/>
          <w:sz w:val="24"/>
          <w:szCs w:val="24"/>
          <w:highlight w:val="white"/>
          <w:rtl w:val="0"/>
        </w:rPr>
        <w:t xml:space="preserve">What </w:t>
      </w:r>
      <w:r w:rsidDel="00000000" w:rsidR="00000000" w:rsidRPr="00000000">
        <w:rPr>
          <w:rFonts w:ascii="Calibri" w:cs="Calibri" w:eastAsia="Calibri" w:hAnsi="Calibri"/>
          <w:i w:val="1"/>
          <w:color w:val="366091"/>
          <w:sz w:val="24"/>
          <w:szCs w:val="24"/>
          <w:highlight w:val="white"/>
          <w:rtl w:val="0"/>
        </w:rPr>
        <w:t xml:space="preserve">inequities</w:t>
      </w:r>
      <w:r w:rsidDel="00000000" w:rsidR="00000000" w:rsidRPr="00000000">
        <w:rPr>
          <w:rFonts w:ascii="Calibri" w:cs="Calibri" w:eastAsia="Calibri" w:hAnsi="Calibri"/>
          <w:i w:val="1"/>
          <w:color w:val="366091"/>
          <w:sz w:val="24"/>
          <w:szCs w:val="24"/>
          <w:highlight w:val="white"/>
          <w:rtl w:val="0"/>
        </w:rPr>
        <w:t xml:space="preserve"> emerged between schools within the LEA?  Within the school(s)?</w:t>
      </w:r>
      <w:r w:rsidDel="00000000" w:rsidR="00000000" w:rsidRPr="00000000">
        <w:rPr>
          <w:rtl w:val="0"/>
        </w:rPr>
      </w:r>
    </w:p>
    <w:tbl>
      <w:tblPr>
        <w:tblStyle w:val="Table3"/>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571.7968749999998" w:hRule="atLeast"/>
          <w:tblHeader w:val="0"/>
        </w:trPr>
        <w:tc>
          <w:tcPr>
            <w:shd w:fill="auto" w:val="clear"/>
          </w:tcPr>
          <w:p w:rsidR="00000000" w:rsidDel="00000000" w:rsidP="00000000" w:rsidRDefault="00000000" w:rsidRPr="00000000" w14:paraId="0000001E">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3"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1F">
            <w:pPr>
              <w:spacing w:after="160" w:line="24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0">
      <w:pPr>
        <w:spacing w:after="200" w:line="240" w:lineRule="auto"/>
        <w:rPr>
          <w:rFonts w:ascii="Calibri" w:cs="Calibri" w:eastAsia="Calibri" w:hAnsi="Calibri"/>
          <w:i w:val="1"/>
          <w:color w:val="366091"/>
          <w:sz w:val="24"/>
          <w:szCs w:val="24"/>
          <w:highlight w:val="white"/>
        </w:rPr>
      </w:pPr>
      <w:bookmarkStart w:colFirst="0" w:colLast="0" w:name="_tax49jji1kpb" w:id="8"/>
      <w:bookmarkEnd w:id="8"/>
      <w:r w:rsidDel="00000000" w:rsidR="00000000" w:rsidRPr="00000000">
        <w:rPr>
          <w:rtl w:val="0"/>
        </w:rPr>
      </w:r>
    </w:p>
    <w:p w:rsidR="00000000" w:rsidDel="00000000" w:rsidP="00000000" w:rsidRDefault="00000000" w:rsidRPr="00000000" w14:paraId="00000021">
      <w:pPr>
        <w:spacing w:after="200" w:line="240" w:lineRule="auto"/>
        <w:rPr>
          <w:rFonts w:ascii="Calibri" w:cs="Calibri" w:eastAsia="Calibri" w:hAnsi="Calibri"/>
          <w:i w:val="1"/>
          <w:color w:val="366091"/>
          <w:sz w:val="24"/>
          <w:szCs w:val="24"/>
          <w:highlight w:val="white"/>
        </w:rPr>
      </w:pPr>
      <w:bookmarkStart w:colFirst="0" w:colLast="0" w:name="_kksf7texhfm" w:id="9"/>
      <w:bookmarkEnd w:id="9"/>
      <w:r w:rsidDel="00000000" w:rsidR="00000000" w:rsidRPr="00000000">
        <w:rPr>
          <w:rtl w:val="0"/>
        </w:rPr>
      </w:r>
    </w:p>
    <w:p w:rsidR="00000000" w:rsidDel="00000000" w:rsidP="00000000" w:rsidRDefault="00000000" w:rsidRPr="00000000" w14:paraId="00000022">
      <w:pPr>
        <w:spacing w:after="200" w:line="240" w:lineRule="auto"/>
        <w:rPr>
          <w:rFonts w:ascii="Calibri" w:cs="Calibri" w:eastAsia="Calibri" w:hAnsi="Calibri"/>
          <w:i w:val="1"/>
          <w:color w:val="366091"/>
          <w:sz w:val="24"/>
          <w:szCs w:val="24"/>
          <w:highlight w:val="white"/>
        </w:rPr>
      </w:pPr>
      <w:bookmarkStart w:colFirst="0" w:colLast="0" w:name="_6hup2y84uwfk" w:id="10"/>
      <w:bookmarkEnd w:id="10"/>
      <w:r w:rsidDel="00000000" w:rsidR="00000000" w:rsidRPr="00000000">
        <w:rPr>
          <w:rtl w:val="0"/>
        </w:rPr>
      </w:r>
    </w:p>
    <w:p w:rsidR="00000000" w:rsidDel="00000000" w:rsidP="00000000" w:rsidRDefault="00000000" w:rsidRPr="00000000" w14:paraId="00000023">
      <w:pPr>
        <w:spacing w:after="200" w:line="240" w:lineRule="auto"/>
        <w:rPr>
          <w:rFonts w:ascii="Calibri" w:cs="Calibri" w:eastAsia="Calibri" w:hAnsi="Calibri"/>
          <w:i w:val="1"/>
          <w:color w:val="366091"/>
          <w:sz w:val="24"/>
          <w:szCs w:val="24"/>
          <w:highlight w:val="white"/>
        </w:rPr>
      </w:pPr>
      <w:bookmarkStart w:colFirst="0" w:colLast="0" w:name="_qk9hm13vxtyk" w:id="11"/>
      <w:bookmarkEnd w:id="11"/>
      <w:r w:rsidDel="00000000" w:rsidR="00000000" w:rsidRPr="00000000">
        <w:rPr>
          <w:rtl w:val="0"/>
        </w:rPr>
      </w:r>
    </w:p>
    <w:p w:rsidR="00000000" w:rsidDel="00000000" w:rsidP="00000000" w:rsidRDefault="00000000" w:rsidRPr="00000000" w14:paraId="00000024">
      <w:pPr>
        <w:spacing w:after="200" w:line="240" w:lineRule="auto"/>
        <w:rPr>
          <w:rFonts w:ascii="Calibri" w:cs="Calibri" w:eastAsia="Calibri" w:hAnsi="Calibri"/>
          <w:i w:val="1"/>
          <w:color w:val="366091"/>
          <w:sz w:val="24"/>
          <w:szCs w:val="24"/>
          <w:highlight w:val="white"/>
        </w:rPr>
      </w:pPr>
      <w:bookmarkStart w:colFirst="0" w:colLast="0" w:name="_wx1j0ssc28p3" w:id="12"/>
      <w:bookmarkEnd w:id="12"/>
      <w:r w:rsidDel="00000000" w:rsidR="00000000" w:rsidRPr="00000000">
        <w:rPr>
          <w:rtl w:val="0"/>
        </w:rPr>
      </w:r>
    </w:p>
    <w:p w:rsidR="00000000" w:rsidDel="00000000" w:rsidP="00000000" w:rsidRDefault="00000000" w:rsidRPr="00000000" w14:paraId="00000025">
      <w:pPr>
        <w:spacing w:after="200" w:line="240" w:lineRule="auto"/>
        <w:rPr>
          <w:rFonts w:ascii="Calibri" w:cs="Calibri" w:eastAsia="Calibri" w:hAnsi="Calibri"/>
          <w:i w:val="1"/>
          <w:color w:val="366091"/>
          <w:sz w:val="24"/>
          <w:szCs w:val="24"/>
          <w:highlight w:val="white"/>
        </w:rPr>
      </w:pPr>
      <w:bookmarkStart w:colFirst="0" w:colLast="0" w:name="_g89bup6qhjgh" w:id="13"/>
      <w:bookmarkEnd w:id="13"/>
      <w:r w:rsidDel="00000000" w:rsidR="00000000" w:rsidRPr="00000000">
        <w:rPr>
          <w:rtl w:val="0"/>
        </w:rPr>
      </w:r>
    </w:p>
    <w:p w:rsidR="00000000" w:rsidDel="00000000" w:rsidP="00000000" w:rsidRDefault="00000000" w:rsidRPr="00000000" w14:paraId="00000026">
      <w:pPr>
        <w:spacing w:after="200" w:line="240" w:lineRule="auto"/>
        <w:rPr>
          <w:rFonts w:ascii="Calibri" w:cs="Calibri" w:eastAsia="Calibri" w:hAnsi="Calibri"/>
          <w:i w:val="1"/>
          <w:color w:val="366091"/>
          <w:sz w:val="24"/>
          <w:szCs w:val="24"/>
        </w:rPr>
      </w:pPr>
      <w:bookmarkStart w:colFirst="0" w:colLast="0" w:name="_9emsentswsxq" w:id="14"/>
      <w:bookmarkEnd w:id="14"/>
      <w:r w:rsidDel="00000000" w:rsidR="00000000" w:rsidRPr="00000000">
        <w:rPr>
          <w:rFonts w:ascii="Calibri" w:cs="Calibri" w:eastAsia="Calibri" w:hAnsi="Calibri"/>
          <w:i w:val="1"/>
          <w:color w:val="366091"/>
          <w:sz w:val="24"/>
          <w:szCs w:val="24"/>
          <w:highlight w:val="white"/>
          <w:rtl w:val="0"/>
        </w:rPr>
        <w:t xml:space="preserve">Identify the possible reason(s) the inequities exist.</w:t>
      </w:r>
      <w:r w:rsidDel="00000000" w:rsidR="00000000" w:rsidRPr="00000000">
        <w:rPr>
          <w:rtl w:val="0"/>
        </w:rPr>
      </w:r>
    </w:p>
    <w:tbl>
      <w:tblPr>
        <w:tblStyle w:val="Table4"/>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571.7968749999998" w:hRule="atLeast"/>
          <w:tblHeader w:val="0"/>
        </w:trPr>
        <w:tc>
          <w:tcPr>
            <w:shd w:fill="auto" w:val="clear"/>
          </w:tcPr>
          <w:p w:rsidR="00000000" w:rsidDel="00000000" w:rsidP="00000000" w:rsidRDefault="00000000" w:rsidRPr="00000000" w14:paraId="00000027">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7"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28">
            <w:pPr>
              <w:spacing w:after="160" w:line="24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9">
      <w:pPr>
        <w:spacing w:after="200" w:line="240" w:lineRule="auto"/>
        <w:rPr>
          <w:rFonts w:ascii="Calibri" w:cs="Calibri" w:eastAsia="Calibri" w:hAnsi="Calibri"/>
          <w:i w:val="1"/>
          <w:color w:val="366091"/>
          <w:sz w:val="24"/>
          <w:szCs w:val="24"/>
          <w:highlight w:val="white"/>
        </w:rPr>
      </w:pPr>
      <w:bookmarkStart w:colFirst="0" w:colLast="0" w:name="_w5zxemybe3uq" w:id="15"/>
      <w:bookmarkEnd w:id="15"/>
      <w:r w:rsidDel="00000000" w:rsidR="00000000" w:rsidRPr="00000000">
        <w:rPr>
          <w:rtl w:val="0"/>
        </w:rPr>
      </w:r>
    </w:p>
    <w:p w:rsidR="00000000" w:rsidDel="00000000" w:rsidP="00000000" w:rsidRDefault="00000000" w:rsidRPr="00000000" w14:paraId="0000002A">
      <w:pPr>
        <w:spacing w:after="200" w:line="240" w:lineRule="auto"/>
        <w:rPr>
          <w:rFonts w:ascii="Calibri" w:cs="Calibri" w:eastAsia="Calibri" w:hAnsi="Calibri"/>
          <w:i w:val="1"/>
          <w:color w:val="366091"/>
          <w:sz w:val="24"/>
          <w:szCs w:val="24"/>
        </w:rPr>
      </w:pPr>
      <w:bookmarkStart w:colFirst="0" w:colLast="0" w:name="_qdu618vw0wi9" w:id="16"/>
      <w:bookmarkEnd w:id="16"/>
      <w:r w:rsidDel="00000000" w:rsidR="00000000" w:rsidRPr="00000000">
        <w:rPr>
          <w:rFonts w:ascii="Calibri" w:cs="Calibri" w:eastAsia="Calibri" w:hAnsi="Calibri"/>
          <w:i w:val="1"/>
          <w:color w:val="366091"/>
          <w:sz w:val="24"/>
          <w:szCs w:val="24"/>
          <w:highlight w:val="white"/>
          <w:rtl w:val="0"/>
        </w:rPr>
        <w:t xml:space="preserve">Are there additional resources</w:t>
      </w:r>
      <w:r w:rsidDel="00000000" w:rsidR="00000000" w:rsidRPr="00000000">
        <w:rPr>
          <w:rFonts w:ascii="Calibri" w:cs="Calibri" w:eastAsia="Calibri" w:hAnsi="Calibri"/>
          <w:i w:val="1"/>
          <w:color w:val="366091"/>
          <w:sz w:val="24"/>
          <w:szCs w:val="24"/>
          <w:highlight w:val="white"/>
          <w:rtl w:val="0"/>
        </w:rPr>
        <w:t xml:space="preserve"> and/or LEA Strategic Plan revisions (goal, initiative, action steps) that are needed to address the resource inequities? </w:t>
      </w:r>
      <w:r w:rsidDel="00000000" w:rsidR="00000000" w:rsidRPr="00000000">
        <w:rPr>
          <w:rtl w:val="0"/>
        </w:rPr>
      </w:r>
    </w:p>
    <w:tbl>
      <w:tblPr>
        <w:tblStyle w:val="Table5"/>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571.7968749999998" w:hRule="atLeast"/>
          <w:tblHeader w:val="0"/>
        </w:trPr>
        <w:tc>
          <w:tcPr>
            <w:shd w:fill="auto" w:val="clear"/>
          </w:tcPr>
          <w:p w:rsidR="00000000" w:rsidDel="00000000" w:rsidP="00000000" w:rsidRDefault="00000000" w:rsidRPr="00000000" w14:paraId="0000002B">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5"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2C">
            <w:pPr>
              <w:spacing w:after="160" w:line="24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6091"/>
        </w:rPr>
      </w:pPr>
      <w:r w:rsidDel="00000000" w:rsidR="00000000" w:rsidRPr="00000000">
        <w:rPr>
          <w:rtl w:val="0"/>
        </w:rPr>
      </w:r>
    </w:p>
    <w:p w:rsidR="00000000" w:rsidDel="00000000" w:rsidP="00000000" w:rsidRDefault="00000000" w:rsidRPr="00000000" w14:paraId="0000002E">
      <w:pPr>
        <w:tabs>
          <w:tab w:val="left" w:leader="none" w:pos="90"/>
        </w:tabs>
        <w:spacing w:after="240" w:line="240" w:lineRule="auto"/>
        <w:jc w:val="both"/>
        <w:rPr>
          <w:rFonts w:ascii="Calibri" w:cs="Calibri" w:eastAsia="Calibri" w:hAnsi="Calibri"/>
          <w:b w:val="1"/>
          <w:color w:val="ff0000"/>
          <w:sz w:val="28"/>
          <w:szCs w:val="28"/>
        </w:rPr>
      </w:pPr>
      <w:r w:rsidDel="00000000" w:rsidR="00000000" w:rsidRPr="00000000">
        <w:rPr>
          <w:rtl w:val="0"/>
        </w:rPr>
      </w:r>
    </w:p>
    <w:sectPr>
      <w:headerReference r:id="rId16" w:type="default"/>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Calibri" w:cs="Calibri" w:eastAsia="Calibri" w:hAnsi="Calibri"/>
        <w:sz w:val="18"/>
        <w:szCs w:val="18"/>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-581024</wp:posOffset>
              </wp:positionH>
              <wp:positionV relativeFrom="paragraph">
                <wp:posOffset>192571</wp:posOffset>
              </wp:positionV>
              <wp:extent cx="7915275" cy="445604"/>
              <wp:effectExtent b="0" l="0" r="0" t="0"/>
              <wp:wrapNone/>
              <wp:docPr id="6" name=""/>
              <a:graphic>
                <a:graphicData uri="http://schemas.microsoft.com/office/word/2010/wordprocessingGroup">
                  <wpg:wgp>
                    <wpg:cNvGrpSpPr/>
                    <wpg:grpSpPr>
                      <a:xfrm>
                        <a:off x="1334475" y="1281075"/>
                        <a:ext cx="7915275" cy="445604"/>
                        <a:chOff x="1334475" y="1281075"/>
                        <a:chExt cx="7519800" cy="471600"/>
                      </a:xfrm>
                    </wpg:grpSpPr>
                    <wps:wsp>
                      <wps:cNvSpPr/>
                      <wps:cNvPr id="6" name="Shape 6"/>
                      <wps:spPr>
                        <a:xfrm>
                          <a:off x="1334475" y="1281075"/>
                          <a:ext cx="7519800" cy="471600"/>
                        </a:xfrm>
                        <a:prstGeom prst="rect">
                          <a:avLst/>
                        </a:prstGeom>
                        <a:solidFill>
                          <a:srgbClr val="6586B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32157" l="6732" r="7282" t="30235"/>
                        <a:stretch/>
                      </pic:blipFill>
                      <pic:spPr>
                        <a:xfrm>
                          <a:off x="1623250" y="1293038"/>
                          <a:ext cx="1914525" cy="44767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-581024</wp:posOffset>
              </wp:positionH>
              <wp:positionV relativeFrom="paragraph">
                <wp:posOffset>192571</wp:posOffset>
              </wp:positionV>
              <wp:extent cx="7915275" cy="445604"/>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7915275" cy="445604"/>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pacing w:line="240" w:lineRule="auto"/>
        <w:rPr>
          <w:b w:val="1"/>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b w:val="1"/>
          <w:i w:val="1"/>
          <w:sz w:val="20"/>
          <w:szCs w:val="20"/>
          <w:rtl w:val="0"/>
        </w:rPr>
        <w:t xml:space="preserve">LEAs with CSI schools will use this tool to meet their RAR requirements.  LEAs with ATSI schools can elect to use this document to meet their RAR requirements. </w:t>
      </w:r>
      <w:r w:rsidDel="00000000" w:rsidR="00000000" w:rsidRPr="00000000">
        <w:rPr>
          <w:rtl w:val="0"/>
        </w:rPr>
      </w:r>
    </w:p>
  </w:footnote>
  <w:footnote w:id="1">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The purpose of the RAR document is to guide the conversation when identifying financial and educational inequities.  LEAs should keep this completed document as evidence of a RAR.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-952499</wp:posOffset>
              </wp:positionH>
              <wp:positionV relativeFrom="paragraph">
                <wp:posOffset>-457199</wp:posOffset>
              </wp:positionV>
              <wp:extent cx="8281988" cy="485775"/>
              <wp:effectExtent b="0" l="0" r="0" t="0"/>
              <wp:wrapNone/>
              <wp:docPr id="4" name=""/>
              <a:graphic>
                <a:graphicData uri="http://schemas.microsoft.com/office/word/2010/wordprocessingGroup">
                  <wpg:wgp>
                    <wpg:cNvGrpSpPr/>
                    <wpg:grpSpPr>
                      <a:xfrm>
                        <a:off x="1426125" y="3547425"/>
                        <a:ext cx="8281988" cy="485775"/>
                        <a:chOff x="1426125" y="3547425"/>
                        <a:chExt cx="7839750" cy="464875"/>
                      </a:xfrm>
                    </wpg:grpSpPr>
                    <wps:wsp>
                      <wps:cNvSpPr/>
                      <wps:cNvPr id="3" name="Shape 3"/>
                      <wps:spPr>
                        <a:xfrm>
                          <a:off x="1426145" y="3702530"/>
                          <a:ext cx="7839710" cy="154940"/>
                        </a:xfrm>
                        <a:prstGeom prst="rect">
                          <a:avLst/>
                        </a:prstGeom>
                        <a:solidFill>
                          <a:srgbClr val="B7CC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26200" y="3547425"/>
                          <a:ext cx="7839600" cy="155100"/>
                        </a:xfrm>
                        <a:prstGeom prst="rect">
                          <a:avLst/>
                        </a:prstGeom>
                        <a:solidFill>
                          <a:srgbClr val="6586B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26195" y="3857480"/>
                          <a:ext cx="7839600" cy="154800"/>
                        </a:xfrm>
                        <a:prstGeom prst="rect">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-457199</wp:posOffset>
              </wp:positionV>
              <wp:extent cx="8281988" cy="48577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281988" cy="485775"/>
                      </a:xfrm>
                      <a:prstGeom prst="rect"/>
                      <a:ln/>
                    </pic:spPr>
                  </pic:pic>
                </a:graphicData>
              </a:graphic>
            </wp:anchor>
          </w:drawing>
        </mc:Fallback>
      </mc:AlternateContent>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2">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3">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4">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5">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ride.ri.gov/sites/g/files/xkgbur806/files/2024-03/RAR_Identifying%20Educational%20Resources%20Guide_1.29.24.pdf" TargetMode="Externa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bleau.ride.ri.gov/t/Public/views/ResourceAllocationDashboards/LandingPage?%3Adisplay_count=n&amp;%3Aembed=y&amp;%3AisGuestRedirectFromVizportal=y&amp;%3Aorigin=viz_share_link&amp;%3AshowAppBanner=false&amp;%3AshowVizHome=n" TargetMode="External"/><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reportcard.ride.ri.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