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C1BF25" wp14:paraId="2C078E63" wp14:textId="5A01960B">
      <w:pPr>
        <w:jc w:val="center"/>
        <w:rPr>
          <w:b w:val="1"/>
          <w:bCs w:val="1"/>
          <w:color w:val="2F5496" w:themeColor="accent1" w:themeTint="FF" w:themeShade="BF"/>
          <w:sz w:val="28"/>
          <w:szCs w:val="28"/>
        </w:rPr>
      </w:pPr>
      <w:r w:rsidRPr="09C1BF25" w:rsidR="2968504E">
        <w:rPr>
          <w:b w:val="1"/>
          <w:bCs w:val="1"/>
          <w:color w:val="2F5496" w:themeColor="accent1" w:themeTint="FF" w:themeShade="BF"/>
          <w:sz w:val="28"/>
          <w:szCs w:val="28"/>
        </w:rPr>
        <w:t>Advancing Learning Beyond the 180-Day School Year</w:t>
      </w:r>
      <w:r>
        <w:br/>
      </w:r>
      <w:r w:rsidRPr="09C1BF25" w:rsidR="4AC89604">
        <w:rPr>
          <w:b w:val="1"/>
          <w:bCs w:val="1"/>
          <w:color w:val="2F5496" w:themeColor="accent1" w:themeTint="FF" w:themeShade="BF"/>
          <w:sz w:val="28"/>
          <w:szCs w:val="28"/>
        </w:rPr>
        <w:t xml:space="preserve"> Budget Guide </w:t>
      </w:r>
    </w:p>
    <w:p w:rsidR="4AC89604" w:rsidP="09C1BF25" w:rsidRDefault="4AC89604" w14:paraId="7B0ECCAC" w14:textId="4644AACC">
      <w:pPr>
        <w:pStyle w:val="Normal"/>
        <w:jc w:val="left"/>
        <w:rPr>
          <w:b w:val="0"/>
          <w:bCs w:val="0"/>
          <w:color w:val="auto"/>
          <w:sz w:val="22"/>
          <w:szCs w:val="22"/>
        </w:rPr>
      </w:pPr>
      <w:r w:rsidRPr="7AD16F0B" w:rsidR="4AC89604">
        <w:rPr>
          <w:b w:val="0"/>
          <w:bCs w:val="0"/>
          <w:color w:val="auto"/>
          <w:sz w:val="22"/>
          <w:szCs w:val="22"/>
        </w:rPr>
        <w:t xml:space="preserve">The </w:t>
      </w:r>
      <w:r w:rsidRPr="7AD16F0B" w:rsidR="6A4E0D3E">
        <w:rPr>
          <w:b w:val="0"/>
          <w:bCs w:val="0"/>
          <w:color w:val="auto"/>
          <w:sz w:val="22"/>
          <w:szCs w:val="22"/>
        </w:rPr>
        <w:t>Advancing Learning Beyond the 180-Day School Year is in support of Governor Daniel J. McKee’s Learn365RI Initiative</w:t>
      </w:r>
      <w:r w:rsidRPr="7AD16F0B" w:rsidR="3D1252EC">
        <w:rPr>
          <w:b w:val="0"/>
          <w:bCs w:val="0"/>
          <w:color w:val="auto"/>
          <w:sz w:val="22"/>
          <w:szCs w:val="22"/>
        </w:rPr>
        <w:t xml:space="preserve"> and is funded through the federal </w:t>
      </w:r>
      <w:r w:rsidRPr="7AD16F0B" w:rsidR="7799CE49">
        <w:rPr>
          <w:b w:val="0"/>
          <w:bCs w:val="0"/>
          <w:color w:val="auto"/>
          <w:sz w:val="22"/>
          <w:szCs w:val="22"/>
        </w:rPr>
        <w:t>State Fiscal Recovery Funds</w:t>
      </w:r>
      <w:r w:rsidRPr="7AD16F0B" w:rsidR="0D7C057C">
        <w:rPr>
          <w:b w:val="0"/>
          <w:bCs w:val="0"/>
          <w:color w:val="auto"/>
          <w:sz w:val="22"/>
          <w:szCs w:val="22"/>
        </w:rPr>
        <w:t xml:space="preserve"> (SFRF)</w:t>
      </w:r>
      <w:r w:rsidRPr="7AD16F0B" w:rsidR="3D1252EC">
        <w:rPr>
          <w:b w:val="0"/>
          <w:bCs w:val="0"/>
          <w:color w:val="auto"/>
          <w:sz w:val="22"/>
          <w:szCs w:val="22"/>
        </w:rPr>
        <w:t xml:space="preserve">.  </w:t>
      </w:r>
      <w:r w:rsidRPr="7AD16F0B" w:rsidR="3D1252EC">
        <w:rPr>
          <w:b w:val="0"/>
          <w:bCs w:val="0"/>
          <w:color w:val="auto"/>
          <w:sz w:val="22"/>
          <w:szCs w:val="22"/>
        </w:rPr>
        <w:t xml:space="preserve">As such, all </w:t>
      </w:r>
      <w:r w:rsidRPr="7AD16F0B" w:rsidR="0ABD98BF">
        <w:rPr>
          <w:b w:val="0"/>
          <w:bCs w:val="0"/>
          <w:color w:val="auto"/>
          <w:sz w:val="22"/>
          <w:szCs w:val="22"/>
        </w:rPr>
        <w:t xml:space="preserve">funds are governed by the following federal fiscal regulations: </w:t>
      </w:r>
    </w:p>
    <w:p w:rsidR="0ABD98BF" w:rsidP="09C1BF25" w:rsidRDefault="0ABD98BF" w14:paraId="6765DDDC" w14:textId="46C7CABB">
      <w:pPr>
        <w:pStyle w:val="ListParagraph"/>
        <w:numPr>
          <w:ilvl w:val="0"/>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6d36d6f99ee47ec">
        <w:r w:rsidRPr="09C1BF25" w:rsidR="0ABD98BF">
          <w:rPr>
            <w:rStyle w:val="Hyperlink"/>
            <w:rFonts w:ascii="Calibri" w:hAnsi="Calibri" w:eastAsia="Calibri" w:cs="Calibri"/>
            <w:b w:val="0"/>
            <w:bCs w:val="0"/>
            <w:i w:val="0"/>
            <w:iCs w:val="0"/>
            <w:caps w:val="0"/>
            <w:smallCaps w:val="0"/>
            <w:strike w:val="0"/>
            <w:dstrike w:val="0"/>
            <w:noProof w:val="0"/>
            <w:sz w:val="22"/>
            <w:szCs w:val="22"/>
            <w:lang w:val="en-US"/>
          </w:rPr>
          <w:t>Title 34, CFR</w:t>
        </w:r>
      </w:hyperlink>
      <w:r w:rsidRPr="09C1BF25"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09C1BF25" w:rsidR="0ABD98BF">
        <w:rPr>
          <w:rFonts w:ascii="Calibri" w:hAnsi="Calibri" w:eastAsia="Calibri" w:cs="Calibri"/>
          <w:b w:val="0"/>
          <w:bCs w:val="0"/>
          <w:i w:val="0"/>
          <w:iCs w:val="0"/>
          <w:caps w:val="0"/>
          <w:smallCaps w:val="0"/>
          <w:noProof w:val="0"/>
          <w:color w:val="000000" w:themeColor="text1" w:themeTint="FF" w:themeShade="FF"/>
          <w:sz w:val="22"/>
          <w:szCs w:val="22"/>
          <w:lang w:val="en-US"/>
        </w:rPr>
        <w:t>Education Department General Administrative Regulations (EDGAR)</w:t>
      </w:r>
      <w:r w:rsidRPr="09C1BF25"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especially </w:t>
      </w:r>
      <w:hyperlink r:id="R021fec79273e4a30">
        <w:r w:rsidRPr="09C1BF25" w:rsidR="0ABD98BF">
          <w:rPr>
            <w:rStyle w:val="Hyperlink"/>
            <w:rFonts w:ascii="Calibri" w:hAnsi="Calibri" w:eastAsia="Calibri" w:cs="Calibri"/>
            <w:b w:val="0"/>
            <w:bCs w:val="0"/>
            <w:i w:val="0"/>
            <w:iCs w:val="0"/>
            <w:caps w:val="0"/>
            <w:smallCaps w:val="0"/>
            <w:strike w:val="0"/>
            <w:dstrike w:val="0"/>
            <w:noProof w:val="0"/>
            <w:sz w:val="22"/>
            <w:szCs w:val="22"/>
            <w:lang w:val="en-US"/>
          </w:rPr>
          <w:t>Part 7</w:t>
        </w:r>
        <w:r w:rsidRPr="09C1BF25" w:rsidR="0ABD98BF">
          <w:rPr>
            <w:rStyle w:val="Hyperlink"/>
            <w:rFonts w:ascii="Calibri" w:hAnsi="Calibri" w:eastAsia="Calibri" w:cs="Calibri"/>
            <w:b w:val="0"/>
            <w:bCs w:val="0"/>
            <w:i w:val="0"/>
            <w:iCs w:val="0"/>
            <w:caps w:val="0"/>
            <w:smallCaps w:val="0"/>
            <w:strike w:val="0"/>
            <w:dstrike w:val="0"/>
            <w:noProof w:val="0"/>
            <w:sz w:val="22"/>
            <w:szCs w:val="22"/>
            <w:lang w:val="en-US"/>
          </w:rPr>
          <w:t>6 (State-Administered Programs)</w:t>
        </w:r>
      </w:hyperlink>
    </w:p>
    <w:p w:rsidR="0ABD98BF" w:rsidP="09C1BF25" w:rsidRDefault="0ABD98BF" w14:paraId="5A7389BD" w14:textId="6067868A">
      <w:pPr>
        <w:pStyle w:val="ListParagraph"/>
        <w:numPr>
          <w:ilvl w:val="0"/>
          <w:numId w:val="1"/>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349fdf554b64045">
        <w:r w:rsidRPr="4AE44716" w:rsidR="0ABD98BF">
          <w:rPr>
            <w:rStyle w:val="Hyperlink"/>
            <w:rFonts w:ascii="Calibri" w:hAnsi="Calibri" w:eastAsia="Calibri" w:cs="Calibri"/>
            <w:b w:val="0"/>
            <w:bCs w:val="0"/>
            <w:i w:val="0"/>
            <w:iCs w:val="0"/>
            <w:caps w:val="0"/>
            <w:smallCaps w:val="0"/>
            <w:strike w:val="0"/>
            <w:dstrike w:val="0"/>
            <w:noProof w:val="0"/>
            <w:sz w:val="22"/>
            <w:szCs w:val="22"/>
            <w:lang w:val="en-US"/>
          </w:rPr>
          <w:t>Title 2, CFR</w:t>
        </w:r>
      </w:hyperlink>
      <w:r w:rsidRPr="4AE44716"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w:t>
      </w:r>
      <w:r w:rsidRPr="4AE44716" w:rsidR="0ABD98BF">
        <w:rPr>
          <w:rFonts w:ascii="Calibri" w:hAnsi="Calibri" w:eastAsia="Calibri" w:cs="Calibri"/>
          <w:b w:val="0"/>
          <w:bCs w:val="0"/>
          <w:i w:val="0"/>
          <w:iCs w:val="0"/>
          <w:caps w:val="0"/>
          <w:smallCaps w:val="0"/>
          <w:noProof w:val="0"/>
          <w:color w:val="000000" w:themeColor="text1" w:themeTint="FF" w:themeShade="FF"/>
          <w:sz w:val="22"/>
          <w:szCs w:val="22"/>
          <w:lang w:val="en-US"/>
        </w:rPr>
        <w:t>Office of Management and Budget Guidance for Grants and Agreements</w:t>
      </w:r>
      <w:r w:rsidRPr="4AE44716"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especially </w:t>
      </w:r>
      <w:hyperlink w:anchor="200" r:id="Rb8e24181f4244af4">
        <w:r w:rsidRPr="4AE44716" w:rsidR="0ABD98BF">
          <w:rPr>
            <w:rStyle w:val="Hyperlink"/>
            <w:rFonts w:ascii="Calibri" w:hAnsi="Calibri" w:eastAsia="Calibri" w:cs="Calibri"/>
            <w:b w:val="0"/>
            <w:bCs w:val="0"/>
            <w:i w:val="0"/>
            <w:iCs w:val="0"/>
            <w:caps w:val="0"/>
            <w:smallCaps w:val="0"/>
            <w:strike w:val="0"/>
            <w:dstrike w:val="0"/>
            <w:noProof w:val="0"/>
            <w:sz w:val="22"/>
            <w:szCs w:val="22"/>
            <w:lang w:val="en-US"/>
          </w:rPr>
          <w:t xml:space="preserve">Part 200 </w:t>
        </w:r>
        <w:r w:rsidRPr="4AE44716" w:rsidR="0ABD98BF">
          <w:rPr>
            <w:rStyle w:val="Hyperlink"/>
            <w:rFonts w:ascii="Calibri" w:hAnsi="Calibri" w:eastAsia="Calibri" w:cs="Calibri"/>
            <w:b w:val="0"/>
            <w:bCs w:val="0"/>
            <w:i w:val="0"/>
            <w:iCs w:val="0"/>
            <w:caps w:val="0"/>
            <w:smallCaps w:val="0"/>
            <w:strike w:val="0"/>
            <w:dstrike w:val="0"/>
            <w:noProof w:val="0"/>
            <w:sz w:val="22"/>
            <w:szCs w:val="22"/>
            <w:lang w:val="en-US"/>
          </w:rPr>
          <w:t>(</w:t>
        </w:r>
        <w:r w:rsidRPr="4AE44716" w:rsidR="0ABD98BF">
          <w:rPr>
            <w:rStyle w:val="Hyperlink"/>
            <w:rFonts w:ascii="Calibri" w:hAnsi="Calibri" w:eastAsia="Calibri" w:cs="Calibri"/>
            <w:b w:val="0"/>
            <w:bCs w:val="0"/>
            <w:i w:val="0"/>
            <w:iCs w:val="0"/>
            <w:caps w:val="0"/>
            <w:smallCaps w:val="0"/>
            <w:strike w:val="0"/>
            <w:dstrike w:val="0"/>
            <w:noProof w:val="0"/>
            <w:sz w:val="22"/>
            <w:szCs w:val="22"/>
            <w:lang w:val="en-US"/>
          </w:rPr>
          <w:t>“Uniform Guidance</w:t>
        </w:r>
        <w:r w:rsidRPr="4AE44716" w:rsidR="0ABD98BF">
          <w:rPr>
            <w:rStyle w:val="Hyperlink"/>
            <w:rFonts w:ascii="Calibri" w:hAnsi="Calibri" w:eastAsia="Calibri" w:cs="Calibri"/>
            <w:b w:val="0"/>
            <w:bCs w:val="0"/>
            <w:i w:val="0"/>
            <w:iCs w:val="0"/>
            <w:caps w:val="0"/>
            <w:smallCaps w:val="0"/>
            <w:strike w:val="0"/>
            <w:dstrike w:val="0"/>
            <w:noProof w:val="0"/>
            <w:sz w:val="22"/>
            <w:szCs w:val="22"/>
            <w:lang w:val="en-US"/>
          </w:rPr>
          <w:t>”)</w:t>
        </w:r>
      </w:hyperlink>
    </w:p>
    <w:p w:rsidR="4AE44716" w:rsidP="4AE44716" w:rsidRDefault="4AE44716" w14:paraId="564C87D6" w14:textId="7E154C4E">
      <w:pPr>
        <w:pStyle w:val="Heading2"/>
        <w:keepNext w:val="1"/>
        <w:keepLines w:val="1"/>
        <w:spacing w:after="0" w:line="276" w:lineRule="auto"/>
        <w:rPr>
          <w:rFonts w:ascii="Calibri" w:hAnsi="Calibri" w:eastAsia="Calibri" w:cs="Calibri" w:asciiTheme="minorAscii" w:hAnsiTheme="minorAscii" w:eastAsiaTheme="minorAscii" w:cstheme="minorAscii"/>
          <w:color w:val="auto"/>
          <w:sz w:val="22"/>
          <w:szCs w:val="22"/>
        </w:rPr>
      </w:pPr>
    </w:p>
    <w:p w:rsidR="5B25970F" w:rsidP="4AE44716" w:rsidRDefault="5B25970F" w14:paraId="28357161" w14:textId="06341E45">
      <w:pPr>
        <w:pStyle w:val="Heading2"/>
        <w:keepNext w:val="1"/>
        <w:keepLines w:val="1"/>
        <w:spacing w:after="0" w:line="276" w:lineRule="auto"/>
        <w:rPr>
          <w:rFonts w:ascii="Calibri" w:hAnsi="Calibri" w:eastAsia="Calibri" w:cs="Calibri" w:asciiTheme="minorAscii" w:hAnsiTheme="minorAscii" w:eastAsiaTheme="minorAscii" w:cstheme="minorAscii"/>
          <w:color w:val="auto"/>
          <w:sz w:val="22"/>
          <w:szCs w:val="22"/>
        </w:rPr>
      </w:pPr>
      <w:r w:rsidRPr="4AE44716" w:rsidR="5B25970F">
        <w:rPr>
          <w:rFonts w:ascii="Calibri" w:hAnsi="Calibri" w:eastAsia="Calibri" w:cs="Calibri" w:asciiTheme="minorAscii" w:hAnsiTheme="minorAscii" w:eastAsiaTheme="minorAscii" w:cstheme="minorAscii"/>
          <w:color w:val="auto"/>
          <w:sz w:val="22"/>
          <w:szCs w:val="22"/>
        </w:rPr>
        <w:t xml:space="preserve">All funding distributed through the Rhode Island Department of Education is </w:t>
      </w:r>
      <w:r w:rsidRPr="4AE44716" w:rsidR="011A5FF9">
        <w:rPr>
          <w:rFonts w:ascii="Calibri" w:hAnsi="Calibri" w:eastAsia="Calibri" w:cs="Calibri" w:asciiTheme="minorAscii" w:hAnsiTheme="minorAscii" w:eastAsiaTheme="minorAscii" w:cstheme="minorAscii"/>
          <w:color w:val="auto"/>
          <w:sz w:val="22"/>
          <w:szCs w:val="22"/>
        </w:rPr>
        <w:t>done</w:t>
      </w:r>
      <w:r w:rsidRPr="4AE44716" w:rsidR="5B25970F">
        <w:rPr>
          <w:rFonts w:ascii="Calibri" w:hAnsi="Calibri" w:eastAsia="Calibri" w:cs="Calibri" w:asciiTheme="minorAscii" w:hAnsiTheme="minorAscii" w:eastAsiaTheme="minorAscii" w:cstheme="minorAscii"/>
          <w:color w:val="auto"/>
          <w:sz w:val="22"/>
          <w:szCs w:val="22"/>
        </w:rPr>
        <w:t xml:space="preserve"> on a reimbursement basis</w:t>
      </w:r>
      <w:r w:rsidRPr="4AE44716" w:rsidR="5B25970F">
        <w:rPr>
          <w:rFonts w:ascii="Calibri" w:hAnsi="Calibri" w:eastAsia="Calibri" w:cs="Calibri" w:asciiTheme="minorAscii" w:hAnsiTheme="minorAscii" w:eastAsiaTheme="minorAscii" w:cstheme="minorAscii"/>
          <w:color w:val="auto"/>
          <w:sz w:val="22"/>
          <w:szCs w:val="22"/>
        </w:rPr>
        <w:t xml:space="preserve">.  </w:t>
      </w:r>
      <w:r w:rsidRPr="4AE44716" w:rsidR="5B25970F">
        <w:rPr>
          <w:rFonts w:ascii="Calibri" w:hAnsi="Calibri" w:eastAsia="Calibri" w:cs="Calibri" w:asciiTheme="minorAscii" w:hAnsiTheme="minorAscii" w:eastAsiaTheme="minorAscii" w:cstheme="minorAscii"/>
          <w:color w:val="auto"/>
          <w:sz w:val="22"/>
          <w:szCs w:val="22"/>
        </w:rPr>
        <w:t>As such, before grants are approved,</w:t>
      </w:r>
      <w:r w:rsidRPr="4AE44716" w:rsidR="650B9A59">
        <w:rPr>
          <w:rFonts w:ascii="Calibri" w:hAnsi="Calibri" w:eastAsia="Calibri" w:cs="Calibri" w:asciiTheme="minorAscii" w:hAnsiTheme="minorAscii" w:eastAsiaTheme="minorAscii" w:cstheme="minorAscii"/>
          <w:color w:val="auto"/>
          <w:sz w:val="22"/>
          <w:szCs w:val="22"/>
        </w:rPr>
        <w:t xml:space="preserve"> a th</w:t>
      </w:r>
      <w:r w:rsidRPr="4AE44716" w:rsidR="55250BD1">
        <w:rPr>
          <w:rFonts w:ascii="Calibri" w:hAnsi="Calibri" w:eastAsia="Calibri" w:cs="Calibri" w:asciiTheme="minorAscii" w:hAnsiTheme="minorAscii" w:eastAsiaTheme="minorAscii" w:cstheme="minorAscii"/>
          <w:color w:val="auto"/>
          <w:sz w:val="22"/>
          <w:szCs w:val="22"/>
        </w:rPr>
        <w:t>o</w:t>
      </w:r>
      <w:r w:rsidRPr="4AE44716" w:rsidR="650B9A59">
        <w:rPr>
          <w:rFonts w:ascii="Calibri" w:hAnsi="Calibri" w:eastAsia="Calibri" w:cs="Calibri" w:asciiTheme="minorAscii" w:hAnsiTheme="minorAscii" w:eastAsiaTheme="minorAscii" w:cstheme="minorAscii"/>
          <w:color w:val="auto"/>
          <w:sz w:val="22"/>
          <w:szCs w:val="22"/>
        </w:rPr>
        <w:t xml:space="preserve">rough </w:t>
      </w:r>
      <w:r w:rsidRPr="4AE44716" w:rsidR="52AC5E3F">
        <w:rPr>
          <w:rFonts w:ascii="Calibri" w:hAnsi="Calibri" w:eastAsia="Calibri" w:cs="Calibri" w:asciiTheme="minorAscii" w:hAnsiTheme="minorAscii" w:eastAsiaTheme="minorAscii" w:cstheme="minorAscii"/>
          <w:color w:val="auto"/>
          <w:sz w:val="22"/>
          <w:szCs w:val="22"/>
        </w:rPr>
        <w:t xml:space="preserve">review of the budget is completed with both programmatic and fiscal officers. </w:t>
      </w:r>
      <w:r w:rsidRPr="4AE44716" w:rsidR="2C728754">
        <w:rPr>
          <w:rFonts w:ascii="Calibri" w:hAnsi="Calibri" w:eastAsia="Calibri" w:cs="Calibri" w:asciiTheme="minorAscii" w:hAnsiTheme="minorAscii" w:eastAsiaTheme="minorAscii" w:cstheme="minorAscii"/>
          <w:color w:val="auto"/>
          <w:sz w:val="22"/>
          <w:szCs w:val="22"/>
        </w:rPr>
        <w:t>To help with this process, p</w:t>
      </w:r>
      <w:r w:rsidRPr="4AE44716" w:rsidR="52AC5E3F">
        <w:rPr>
          <w:rFonts w:ascii="Calibri" w:hAnsi="Calibri" w:eastAsia="Calibri" w:cs="Calibri" w:asciiTheme="minorAscii" w:hAnsiTheme="minorAscii" w:eastAsiaTheme="minorAscii" w:cstheme="minorAscii"/>
          <w:color w:val="auto"/>
          <w:sz w:val="22"/>
          <w:szCs w:val="22"/>
        </w:rPr>
        <w:t xml:space="preserve">lease pay close attention to the following budget guidance when building your budget. </w:t>
      </w:r>
    </w:p>
    <w:p w:rsidR="01F8482B" w:rsidP="01F8482B" w:rsidRDefault="01F8482B" w14:paraId="1F9AA2C3" w14:textId="0947D461">
      <w:pPr>
        <w:pStyle w:val="Heading2"/>
        <w:keepNext w:val="1"/>
        <w:keepLines w:val="1"/>
        <w:spacing w:after="0" w:line="276" w:lineRule="auto"/>
        <w:rPr>
          <w:rFonts w:ascii="Calibri" w:hAnsi="Calibri" w:eastAsia="Calibri" w:cs="Calibri"/>
          <w:b w:val="1"/>
          <w:bCs w:val="1"/>
          <w:i w:val="0"/>
          <w:iCs w:val="0"/>
          <w:caps w:val="0"/>
          <w:smallCaps w:val="0"/>
          <w:noProof w:val="0"/>
          <w:color w:val="365F91"/>
          <w:sz w:val="24"/>
          <w:szCs w:val="24"/>
          <w:lang w:val="en-US"/>
        </w:rPr>
      </w:pPr>
      <w:r>
        <w:br/>
      </w:r>
      <w:r w:rsidRPr="01F8482B" w:rsidR="0ABD98BF">
        <w:rPr>
          <w:rFonts w:ascii="Calibri" w:hAnsi="Calibri" w:eastAsia="Calibri" w:cs="Calibri"/>
          <w:b w:val="1"/>
          <w:bCs w:val="1"/>
          <w:i w:val="0"/>
          <w:iCs w:val="0"/>
          <w:caps w:val="0"/>
          <w:smallCaps w:val="0"/>
          <w:noProof w:val="0"/>
          <w:color w:val="365F91"/>
          <w:sz w:val="24"/>
          <w:szCs w:val="24"/>
          <w:lang w:val="en-US"/>
        </w:rPr>
        <w:t>Guiding Principles</w:t>
      </w:r>
    </w:p>
    <w:p w:rsidR="0ABD98BF" w:rsidP="7AD16F0B" w:rsidRDefault="0ABD98BF" w14:paraId="7B60E215" w14:textId="190BE138">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with other federal funding streams, </w:t>
      </w:r>
      <w:r w:rsidRPr="7AD16F0B" w:rsidR="22B7269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SFRF </w:t>
      </w:r>
      <w:r w:rsidRPr="7AD16F0B" w:rsidR="0ABD98BF">
        <w:rPr>
          <w:rFonts w:ascii="Calibri" w:hAnsi="Calibri" w:eastAsia="Calibri" w:cs="Calibri"/>
          <w:b w:val="0"/>
          <w:bCs w:val="0"/>
          <w:i w:val="0"/>
          <w:iCs w:val="0"/>
          <w:caps w:val="0"/>
          <w:smallCaps w:val="0"/>
          <w:noProof w:val="0"/>
          <w:color w:val="000000" w:themeColor="text1" w:themeTint="FF" w:themeShade="FF"/>
          <w:sz w:val="22"/>
          <w:szCs w:val="22"/>
          <w:lang w:val="en-US"/>
        </w:rPr>
        <w:t>funds must meet these overarching federal requirements:</w:t>
      </w:r>
    </w:p>
    <w:p w:rsidR="0ABD98BF" w:rsidP="01F8482B" w:rsidRDefault="0ABD98BF" w14:paraId="2D01E8FB" w14:textId="1446D58D">
      <w:pPr>
        <w:pStyle w:val="ListParagraph"/>
        <w:numPr>
          <w:ilvl w:val="0"/>
          <w:numId w:val="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BD98BF">
        <w:rPr>
          <w:rFonts w:ascii="Calibri" w:hAnsi="Calibri" w:eastAsia="Calibri" w:cs="Calibri"/>
          <w:b w:val="1"/>
          <w:bCs w:val="1"/>
          <w:i w:val="0"/>
          <w:iCs w:val="0"/>
          <w:caps w:val="0"/>
          <w:smallCaps w:val="0"/>
          <w:noProof w:val="0"/>
          <w:color w:val="000000" w:themeColor="text1" w:themeTint="FF" w:themeShade="FF"/>
          <w:sz w:val="22"/>
          <w:szCs w:val="22"/>
          <w:lang w:val="en-US"/>
        </w:rPr>
        <w:t>Allowable</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All costs charged to the grant must be allowable – or not specifically prohibited – under federal regulations (see below).</w:t>
      </w:r>
    </w:p>
    <w:p w:rsidR="0ABD98BF" w:rsidP="01F8482B" w:rsidRDefault="0ABD98BF" w14:paraId="343EE082" w14:textId="584E9083">
      <w:pPr>
        <w:pStyle w:val="ListParagraph"/>
        <w:numPr>
          <w:ilvl w:val="0"/>
          <w:numId w:val="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BD98BF">
        <w:rPr>
          <w:rFonts w:ascii="Calibri" w:hAnsi="Calibri" w:eastAsia="Calibri" w:cs="Calibri"/>
          <w:b w:val="1"/>
          <w:bCs w:val="1"/>
          <w:i w:val="0"/>
          <w:iCs w:val="0"/>
          <w:caps w:val="0"/>
          <w:smallCaps w:val="0"/>
          <w:noProof w:val="0"/>
          <w:color w:val="000000" w:themeColor="text1" w:themeTint="FF" w:themeShade="FF"/>
          <w:sz w:val="22"/>
          <w:szCs w:val="22"/>
          <w:lang w:val="en-US"/>
        </w:rPr>
        <w:t>Necessary</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All costs must be necessary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the program’s success.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They should help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make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activity or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program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a whole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function properly and effectively.</w:t>
      </w:r>
    </w:p>
    <w:p w:rsidR="0ABD98BF" w:rsidP="01F8482B" w:rsidRDefault="0ABD98BF" w14:paraId="242F1575" w14:textId="2F32DC98">
      <w:pPr>
        <w:pStyle w:val="ListParagraph"/>
        <w:numPr>
          <w:ilvl w:val="0"/>
          <w:numId w:val="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BD98BF">
        <w:rPr>
          <w:rFonts w:ascii="Calibri" w:hAnsi="Calibri" w:eastAsia="Calibri" w:cs="Calibri"/>
          <w:b w:val="1"/>
          <w:bCs w:val="1"/>
          <w:i w:val="0"/>
          <w:iCs w:val="0"/>
          <w:caps w:val="0"/>
          <w:smallCaps w:val="0"/>
          <w:noProof w:val="0"/>
          <w:color w:val="000000" w:themeColor="text1" w:themeTint="FF" w:themeShade="FF"/>
          <w:sz w:val="22"/>
          <w:szCs w:val="22"/>
          <w:lang w:val="en-US"/>
        </w:rPr>
        <w:t>Reasonable</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For all expenditures, the grantee follows sound business practices, pays a fair market price, and acts with prudence.</w:t>
      </w:r>
    </w:p>
    <w:p w:rsidR="0ABD98BF" w:rsidP="01F8482B" w:rsidRDefault="0ABD98BF" w14:paraId="0E3FF65C" w14:textId="5F3FEC9F">
      <w:pPr>
        <w:pStyle w:val="ListParagraph"/>
        <w:numPr>
          <w:ilvl w:val="0"/>
          <w:numId w:val="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BD98BF">
        <w:rPr>
          <w:rFonts w:ascii="Calibri" w:hAnsi="Calibri" w:eastAsia="Calibri" w:cs="Calibri"/>
          <w:b w:val="1"/>
          <w:bCs w:val="1"/>
          <w:i w:val="0"/>
          <w:iCs w:val="0"/>
          <w:caps w:val="0"/>
          <w:smallCaps w:val="0"/>
          <w:noProof w:val="0"/>
          <w:color w:val="000000" w:themeColor="text1" w:themeTint="FF" w:themeShade="FF"/>
          <w:sz w:val="22"/>
          <w:szCs w:val="22"/>
          <w:lang w:val="en-US"/>
        </w:rPr>
        <w:t>Allocable</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The cost</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must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benefit</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federal program in proportion to the amount charged to the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grant</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other words, the federal grant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can</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 pay for more than its share of any goods or services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purchased</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(though it may pay for less).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includes staff time, as well as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supplies, equipment, etc.</w:t>
      </w:r>
    </w:p>
    <w:p w:rsidR="0ABD98BF" w:rsidP="01F8482B" w:rsidRDefault="0ABD98BF" w14:paraId="54A78D4A" w14:textId="4CEA2DE6">
      <w:pPr>
        <w:pStyle w:val="ListParagraph"/>
        <w:numPr>
          <w:ilvl w:val="0"/>
          <w:numId w:val="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BD98BF">
        <w:rPr>
          <w:rFonts w:ascii="Calibri" w:hAnsi="Calibri" w:eastAsia="Calibri" w:cs="Calibri"/>
          <w:b w:val="1"/>
          <w:bCs w:val="1"/>
          <w:i w:val="0"/>
          <w:iCs w:val="0"/>
          <w:caps w:val="0"/>
          <w:smallCaps w:val="0"/>
          <w:noProof w:val="0"/>
          <w:color w:val="000000" w:themeColor="text1" w:themeTint="FF" w:themeShade="FF"/>
          <w:sz w:val="22"/>
          <w:szCs w:val="22"/>
          <w:lang w:val="en-US"/>
        </w:rPr>
        <w:t>Documented</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The grantee must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maintain</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documentation for all phases of the grant process. </w:t>
      </w:r>
      <w:r w:rsidRPr="01F8482B" w:rsidR="0ABD98BF">
        <w:rPr>
          <w:rFonts w:ascii="Calibri" w:hAnsi="Calibri" w:eastAsia="Calibri" w:cs="Calibri"/>
          <w:b w:val="0"/>
          <w:bCs w:val="0"/>
          <w:i w:val="0"/>
          <w:iCs w:val="0"/>
          <w:caps w:val="0"/>
          <w:smallCaps w:val="0"/>
          <w:noProof w:val="0"/>
          <w:color w:val="000000" w:themeColor="text1" w:themeTint="FF" w:themeShade="FF"/>
          <w:sz w:val="22"/>
          <w:szCs w:val="22"/>
          <w:lang w:val="en-US"/>
        </w:rPr>
        <w:t>Such documentation should be sufficient to support the decision to spend funds and subsequently to trace how funds were spent.</w:t>
      </w:r>
    </w:p>
    <w:p w:rsidR="3D19834A" w:rsidP="09C1BF25" w:rsidRDefault="3D19834A" w14:paraId="74091E9C" w14:textId="4D7A6454">
      <w:pPr>
        <w:pStyle w:val="Normal"/>
        <w:keepNext w:val="1"/>
        <w:keepLines w:val="1"/>
        <w:spacing w:after="0" w:line="276" w:lineRule="auto"/>
        <w:jc w:val="left"/>
        <w:rPr>
          <w:rFonts w:ascii="Calibri" w:hAnsi="Calibri" w:eastAsia="Calibri" w:cs="Calibri"/>
          <w:b w:val="1"/>
          <w:bCs w:val="1"/>
          <w:i w:val="0"/>
          <w:iCs w:val="0"/>
          <w:caps w:val="0"/>
          <w:smallCaps w:val="0"/>
          <w:noProof w:val="0"/>
          <w:color w:val="365F91"/>
          <w:sz w:val="24"/>
          <w:szCs w:val="24"/>
          <w:lang w:val="en-US"/>
        </w:rPr>
      </w:pPr>
      <w:r>
        <w:br/>
      </w:r>
      <w:r w:rsidRPr="09C1BF25" w:rsidR="3D19834A">
        <w:rPr>
          <w:b w:val="1"/>
          <w:bCs w:val="1"/>
          <w:color w:val="2F5496" w:themeColor="accent1" w:themeTint="FF" w:themeShade="BF"/>
          <w:sz w:val="24"/>
          <w:szCs w:val="24"/>
        </w:rPr>
        <w:t>Budget and Budget Narrative</w:t>
      </w:r>
      <w:r w:rsidRPr="09C1BF25" w:rsidR="76DD588D">
        <w:rPr>
          <w:b w:val="1"/>
          <w:bCs w:val="1"/>
          <w:color w:val="2F5496" w:themeColor="accent1" w:themeTint="FF" w:themeShade="BF"/>
          <w:sz w:val="24"/>
          <w:szCs w:val="24"/>
        </w:rPr>
        <w:t xml:space="preserve"> </w:t>
      </w:r>
      <w:r>
        <w:br/>
      </w:r>
      <w:r w:rsidRPr="09C1BF25" w:rsidR="3D19834A">
        <w:rPr>
          <w:rFonts w:ascii="Calibri" w:hAnsi="Calibri" w:eastAsia="Calibri" w:cs="Calibri"/>
          <w:b w:val="1"/>
          <w:bCs w:val="1"/>
          <w:i w:val="0"/>
          <w:iCs w:val="0"/>
          <w:caps w:val="0"/>
          <w:smallCaps w:val="0"/>
          <w:noProof w:val="0"/>
          <w:color w:val="365F91"/>
          <w:sz w:val="24"/>
          <w:szCs w:val="24"/>
          <w:lang w:val="en-US"/>
        </w:rPr>
        <w:t>Purpose</w:t>
      </w:r>
    </w:p>
    <w:p w:rsidR="3D19834A" w:rsidP="01F8482B" w:rsidRDefault="3D19834A" w14:paraId="1928C529" w14:textId="1FD26B47">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goal for the </w:t>
      </w:r>
      <w:r w:rsidRPr="01F8482B" w:rsidR="3D19834A">
        <w:rPr>
          <w:rFonts w:ascii="Calibri" w:hAnsi="Calibri" w:eastAsia="Calibri" w:cs="Calibri"/>
          <w:b w:val="0"/>
          <w:bCs w:val="0"/>
          <w:i w:val="1"/>
          <w:iCs w:val="1"/>
          <w:caps w:val="0"/>
          <w:smallCaps w:val="0"/>
          <w:noProof w:val="0"/>
          <w:color w:val="000000" w:themeColor="text1" w:themeTint="FF" w:themeShade="FF"/>
          <w:sz w:val="22"/>
          <w:szCs w:val="22"/>
          <w:lang w:val="en-US"/>
        </w:rPr>
        <w:t>B</w:t>
      </w:r>
      <w:r w:rsidRPr="01F8482B" w:rsidR="3D19834A">
        <w:rPr>
          <w:rFonts w:ascii="Calibri" w:hAnsi="Calibri" w:eastAsia="Calibri" w:cs="Calibri"/>
          <w:b w:val="0"/>
          <w:bCs w:val="0"/>
          <w:i w:val="1"/>
          <w:iCs w:val="1"/>
          <w:caps w:val="0"/>
          <w:smallCaps w:val="0"/>
          <w:noProof w:val="0"/>
          <w:color w:val="000000" w:themeColor="text1" w:themeTint="FF" w:themeShade="FF"/>
          <w:sz w:val="22"/>
          <w:szCs w:val="22"/>
          <w:lang w:val="en-US"/>
        </w:rPr>
        <w:t>udget</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 </w:t>
      </w:r>
      <w:r w:rsidRPr="01F8482B" w:rsidR="3D19834A">
        <w:rPr>
          <w:rFonts w:ascii="Calibri" w:hAnsi="Calibri" w:eastAsia="Calibri" w:cs="Calibri"/>
          <w:b w:val="0"/>
          <w:bCs w:val="0"/>
          <w:i w:val="1"/>
          <w:iCs w:val="1"/>
          <w:caps w:val="0"/>
          <w:smallCaps w:val="0"/>
          <w:noProof w:val="0"/>
          <w:color w:val="000000" w:themeColor="text1" w:themeTint="FF" w:themeShade="FF"/>
          <w:sz w:val="22"/>
          <w:szCs w:val="22"/>
          <w:lang w:val="en-US"/>
        </w:rPr>
        <w:t>B</w:t>
      </w:r>
      <w:r w:rsidRPr="01F8482B" w:rsidR="3D19834A">
        <w:rPr>
          <w:rFonts w:ascii="Calibri" w:hAnsi="Calibri" w:eastAsia="Calibri" w:cs="Calibri"/>
          <w:b w:val="0"/>
          <w:bCs w:val="0"/>
          <w:i w:val="1"/>
          <w:iCs w:val="1"/>
          <w:caps w:val="0"/>
          <w:smallCaps w:val="0"/>
          <w:noProof w:val="0"/>
          <w:color w:val="000000" w:themeColor="text1" w:themeTint="FF" w:themeShade="FF"/>
          <w:sz w:val="22"/>
          <w:szCs w:val="22"/>
          <w:lang w:val="en-US"/>
        </w:rPr>
        <w:t xml:space="preserve">udget </w:t>
      </w:r>
      <w:r w:rsidRPr="01F8482B" w:rsidR="3D19834A">
        <w:rPr>
          <w:rFonts w:ascii="Calibri" w:hAnsi="Calibri" w:eastAsia="Calibri" w:cs="Calibri"/>
          <w:b w:val="0"/>
          <w:bCs w:val="0"/>
          <w:i w:val="1"/>
          <w:iCs w:val="1"/>
          <w:caps w:val="0"/>
          <w:smallCaps w:val="0"/>
          <w:noProof w:val="0"/>
          <w:color w:val="000000" w:themeColor="text1" w:themeTint="FF" w:themeShade="FF"/>
          <w:sz w:val="22"/>
          <w:szCs w:val="22"/>
          <w:lang w:val="en-US"/>
        </w:rPr>
        <w:t>N</w:t>
      </w:r>
      <w:r w:rsidRPr="01F8482B" w:rsidR="3D19834A">
        <w:rPr>
          <w:rFonts w:ascii="Calibri" w:hAnsi="Calibri" w:eastAsia="Calibri" w:cs="Calibri"/>
          <w:b w:val="0"/>
          <w:bCs w:val="0"/>
          <w:i w:val="1"/>
          <w:iCs w:val="1"/>
          <w:caps w:val="0"/>
          <w:smallCaps w:val="0"/>
          <w:noProof w:val="0"/>
          <w:color w:val="000000" w:themeColor="text1" w:themeTint="FF" w:themeShade="FF"/>
          <w:sz w:val="22"/>
          <w:szCs w:val="22"/>
          <w:lang w:val="en-US"/>
        </w:rPr>
        <w:t>arrative</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forms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for an outside reader to be able to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understand clearly how the funds will be spent and how the program will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operate</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udget provides a visual snapshot, with specific dollar amounts for each item, while the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udget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arrative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provides</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detail and justification. </w:t>
      </w:r>
    </w:p>
    <w:p w:rsidR="01F8482B" w:rsidP="01F8482B" w:rsidRDefault="01F8482B" w14:paraId="567ACDCC" w14:textId="35A5A10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D19834A" w:rsidP="09C1BF25" w:rsidRDefault="3D19834A" w14:paraId="6E54804F" w14:textId="7BC4A8C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each item in your budget request, you should describe what it is, what the rate or cost basis is, and how many or how much you are </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purchasing</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appropriate</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please make it clear how many students will be served with each item.</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The cost basis should be an equation (or number sentence) that clarifies how you got to the total dollar amount for each line</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Examples of cost basis </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include</w:t>
      </w:r>
      <w:r w:rsidRPr="09C1BF25" w:rsidR="11244F9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3D19834A" w:rsidP="09C1BF25" w:rsidRDefault="3D19834A" w14:paraId="477B8552" w14:textId="17CC6DCF">
      <w:pPr>
        <w:pStyle w:val="ListParagraph"/>
        <w:numPr>
          <w:ilvl w:val="0"/>
          <w:numId w:val="1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C1BF25" w:rsidR="58D7C7A9">
        <w:rPr>
          <w:rFonts w:ascii="Calibri" w:hAnsi="Calibri" w:eastAsia="Calibri" w:cs="Calibri"/>
          <w:b w:val="0"/>
          <w:bCs w:val="0"/>
          <w:i w:val="0"/>
          <w:iCs w:val="0"/>
          <w:caps w:val="0"/>
          <w:smallCaps w:val="0"/>
          <w:noProof w:val="0"/>
          <w:color w:val="000000" w:themeColor="text1" w:themeTint="FF" w:themeShade="FF"/>
          <w:sz w:val="22"/>
          <w:szCs w:val="22"/>
          <w:lang w:val="en-US"/>
        </w:rPr>
        <w:t>10</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hours </w:t>
      </w:r>
      <w:r w:rsidRPr="09C1BF25" w:rsidR="5CE7B4D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9C1BF25" w:rsidR="29865966">
        <w:rPr>
          <w:rFonts w:ascii="Calibri" w:hAnsi="Calibri" w:eastAsia="Calibri" w:cs="Calibri"/>
          <w:b w:val="0"/>
          <w:bCs w:val="0"/>
          <w:i w:val="0"/>
          <w:iCs w:val="0"/>
          <w:caps w:val="0"/>
          <w:smallCaps w:val="0"/>
          <w:noProof w:val="0"/>
          <w:color w:val="000000" w:themeColor="text1" w:themeTint="FF" w:themeShade="FF"/>
          <w:sz w:val="22"/>
          <w:szCs w:val="22"/>
          <w:lang w:val="en-US"/>
        </w:rPr>
        <w:t>$18</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/hour = $</w:t>
      </w:r>
      <w:r w:rsidRPr="09C1BF25" w:rsidR="14D4B058">
        <w:rPr>
          <w:rFonts w:ascii="Calibri" w:hAnsi="Calibri" w:eastAsia="Calibri" w:cs="Calibri"/>
          <w:b w:val="0"/>
          <w:bCs w:val="0"/>
          <w:i w:val="0"/>
          <w:iCs w:val="0"/>
          <w:caps w:val="0"/>
          <w:smallCaps w:val="0"/>
          <w:noProof w:val="0"/>
          <w:color w:val="000000" w:themeColor="text1" w:themeTint="FF" w:themeShade="FF"/>
          <w:sz w:val="22"/>
          <w:szCs w:val="22"/>
          <w:lang w:val="en-US"/>
        </w:rPr>
        <w:t>180</w:t>
      </w:r>
    </w:p>
    <w:p w:rsidR="3D19834A" w:rsidP="09C1BF25" w:rsidRDefault="3D19834A" w14:paraId="5C9EF9E9" w14:textId="6A289A60">
      <w:pPr>
        <w:pStyle w:val="ListParagraph"/>
        <w:numPr>
          <w:ilvl w:val="0"/>
          <w:numId w:val="1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C1BF25" w:rsidR="14D4B058">
        <w:rPr>
          <w:rFonts w:ascii="Calibri" w:hAnsi="Calibri" w:eastAsia="Calibri" w:cs="Calibri"/>
          <w:b w:val="0"/>
          <w:bCs w:val="0"/>
          <w:i w:val="0"/>
          <w:iCs w:val="0"/>
          <w:caps w:val="0"/>
          <w:smallCaps w:val="0"/>
          <w:noProof w:val="0"/>
          <w:color w:val="000000" w:themeColor="text1" w:themeTint="FF" w:themeShade="FF"/>
          <w:sz w:val="22"/>
          <w:szCs w:val="22"/>
          <w:lang w:val="en-US"/>
        </w:rPr>
        <w:t>9</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contracts * </w:t>
      </w:r>
      <w:r w:rsidRPr="09C1BF25" w:rsidR="2DAA5A6B">
        <w:rPr>
          <w:rFonts w:ascii="Calibri" w:hAnsi="Calibri" w:eastAsia="Calibri" w:cs="Calibri"/>
          <w:b w:val="0"/>
          <w:bCs w:val="0"/>
          <w:i w:val="0"/>
          <w:iCs w:val="0"/>
          <w:caps w:val="0"/>
          <w:smallCaps w:val="0"/>
          <w:noProof w:val="0"/>
          <w:color w:val="000000" w:themeColor="text1" w:themeTint="FF" w:themeShade="FF"/>
          <w:sz w:val="22"/>
          <w:szCs w:val="22"/>
          <w:lang w:val="en-US"/>
        </w:rPr>
        <w:t>$1,000</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/contract = </w:t>
      </w:r>
      <w:r w:rsidRPr="09C1BF25" w:rsidR="480D8D3E">
        <w:rPr>
          <w:rFonts w:ascii="Calibri" w:hAnsi="Calibri" w:eastAsia="Calibri" w:cs="Calibri"/>
          <w:b w:val="0"/>
          <w:bCs w:val="0"/>
          <w:i w:val="0"/>
          <w:iCs w:val="0"/>
          <w:caps w:val="0"/>
          <w:smallCaps w:val="0"/>
          <w:noProof w:val="0"/>
          <w:color w:val="000000" w:themeColor="text1" w:themeTint="FF" w:themeShade="FF"/>
          <w:sz w:val="22"/>
          <w:szCs w:val="22"/>
          <w:lang w:val="en-US"/>
        </w:rPr>
        <w:t>$9,000</w:t>
      </w:r>
    </w:p>
    <w:p w:rsidR="3D19834A" w:rsidP="09C1BF25" w:rsidRDefault="3D19834A" w14:paraId="089C22B1" w14:textId="7FD05787">
      <w:pPr>
        <w:pStyle w:val="ListParagraph"/>
        <w:numPr>
          <w:ilvl w:val="0"/>
          <w:numId w:val="1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C1BF25" w:rsidR="480D8D3E">
        <w:rPr>
          <w:rFonts w:ascii="Calibri" w:hAnsi="Calibri" w:eastAsia="Calibri" w:cs="Calibri"/>
          <w:b w:val="0"/>
          <w:bCs w:val="0"/>
          <w:i w:val="0"/>
          <w:iCs w:val="0"/>
          <w:caps w:val="0"/>
          <w:smallCaps w:val="0"/>
          <w:noProof w:val="0"/>
          <w:color w:val="000000" w:themeColor="text1" w:themeTint="FF" w:themeShade="FF"/>
          <w:sz w:val="22"/>
          <w:szCs w:val="22"/>
          <w:lang w:val="en-US"/>
        </w:rPr>
        <w:t>$50</w:t>
      </w:r>
      <w:r w:rsidRPr="09C1BF25" w:rsidR="0B33B23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 in supplies at * </w:t>
      </w:r>
      <w:r w:rsidRPr="09C1BF25" w:rsidR="0C57DF0B">
        <w:rPr>
          <w:rFonts w:ascii="Calibri" w:hAnsi="Calibri" w:eastAsia="Calibri" w:cs="Calibri"/>
          <w:b w:val="0"/>
          <w:bCs w:val="0"/>
          <w:i w:val="0"/>
          <w:iCs w:val="0"/>
          <w:caps w:val="0"/>
          <w:smallCaps w:val="0"/>
          <w:noProof w:val="0"/>
          <w:color w:val="000000" w:themeColor="text1" w:themeTint="FF" w:themeShade="FF"/>
          <w:sz w:val="22"/>
          <w:szCs w:val="22"/>
          <w:lang w:val="en-US"/>
        </w:rPr>
        <w:t>150</w:t>
      </w:r>
      <w:r w:rsidRPr="09C1BF25"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students = $</w:t>
      </w:r>
      <w:r w:rsidRPr="09C1BF25" w:rsidR="12314446">
        <w:rPr>
          <w:rFonts w:ascii="Calibri" w:hAnsi="Calibri" w:eastAsia="Calibri" w:cs="Calibri"/>
          <w:b w:val="0"/>
          <w:bCs w:val="0"/>
          <w:i w:val="0"/>
          <w:iCs w:val="0"/>
          <w:caps w:val="0"/>
          <w:smallCaps w:val="0"/>
          <w:noProof w:val="0"/>
          <w:color w:val="000000" w:themeColor="text1" w:themeTint="FF" w:themeShade="FF"/>
          <w:sz w:val="22"/>
          <w:szCs w:val="22"/>
          <w:lang w:val="en-US"/>
        </w:rPr>
        <w:t>7,500</w:t>
      </w:r>
    </w:p>
    <w:p w:rsidR="3D19834A" w:rsidP="01F8482B" w:rsidRDefault="3D19834A" w14:paraId="2DDF51AD" w14:textId="37F06DF0">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cost basis should allow the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reader to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assess whether the spending </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is allowable, necessary</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3D1983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reasonable. </w:t>
      </w:r>
    </w:p>
    <w:p w:rsidR="01F8482B" w:rsidP="01F8482B" w:rsidRDefault="01F8482B" w14:paraId="69EAAA9B" w14:textId="0E1CCC85">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8076322" w:rsidP="01F8482B" w:rsidRDefault="08076322" w14:paraId="3F1E2613" w14:textId="407DC7D2">
      <w:pPr>
        <w:pStyle w:val="Heading2"/>
        <w:keepNext w:val="1"/>
        <w:keepLines w:val="1"/>
        <w:spacing w:after="0" w:line="276" w:lineRule="auto"/>
        <w:rPr>
          <w:rFonts w:ascii="Calibri" w:hAnsi="Calibri" w:eastAsia="Calibri" w:cs="Calibri"/>
          <w:b w:val="1"/>
          <w:bCs w:val="1"/>
          <w:i w:val="0"/>
          <w:iCs w:val="0"/>
          <w:caps w:val="0"/>
          <w:smallCaps w:val="0"/>
          <w:noProof w:val="0"/>
          <w:color w:val="365F91"/>
          <w:sz w:val="24"/>
          <w:szCs w:val="24"/>
          <w:lang w:val="en-US"/>
        </w:rPr>
      </w:pPr>
      <w:r w:rsidRPr="01F8482B" w:rsidR="08076322">
        <w:rPr>
          <w:rFonts w:ascii="Calibri" w:hAnsi="Calibri" w:eastAsia="Calibri" w:cs="Calibri"/>
          <w:b w:val="1"/>
          <w:bCs w:val="1"/>
          <w:i w:val="0"/>
          <w:iCs w:val="0"/>
          <w:caps w:val="0"/>
          <w:smallCaps w:val="0"/>
          <w:noProof w:val="0"/>
          <w:color w:val="365F91"/>
          <w:sz w:val="24"/>
          <w:szCs w:val="24"/>
          <w:lang w:val="en-US"/>
        </w:rPr>
        <w:t xml:space="preserve">Categories 51000/52000 </w:t>
      </w:r>
      <w:r w:rsidRPr="01F8482B" w:rsidR="08076322">
        <w:rPr>
          <w:rFonts w:ascii="Calibri" w:hAnsi="Calibri" w:eastAsia="Calibri" w:cs="Calibri"/>
          <w:b w:val="1"/>
          <w:bCs w:val="1"/>
          <w:i w:val="0"/>
          <w:iCs w:val="0"/>
          <w:caps w:val="0"/>
          <w:smallCaps w:val="0"/>
          <w:noProof w:val="0"/>
          <w:color w:val="365F91"/>
          <w:sz w:val="24"/>
          <w:szCs w:val="24"/>
          <w:lang w:val="en-US"/>
        </w:rPr>
        <w:t xml:space="preserve">Employee Compensation </w:t>
      </w:r>
      <w:r w:rsidRPr="01F8482B" w:rsidR="08076322">
        <w:rPr>
          <w:rFonts w:ascii="Calibri" w:hAnsi="Calibri" w:eastAsia="Calibri" w:cs="Calibri"/>
          <w:b w:val="1"/>
          <w:bCs w:val="1"/>
          <w:i w:val="0"/>
          <w:iCs w:val="0"/>
          <w:caps w:val="0"/>
          <w:smallCaps w:val="0"/>
          <w:noProof w:val="0"/>
          <w:color w:val="365F91"/>
          <w:sz w:val="24"/>
          <w:szCs w:val="24"/>
          <w:lang w:val="en-US"/>
        </w:rPr>
        <w:t>and Benefits</w:t>
      </w:r>
      <w:r w:rsidRPr="01F8482B" w:rsidR="08076322">
        <w:rPr>
          <w:rFonts w:ascii="Calibri" w:hAnsi="Calibri" w:eastAsia="Calibri" w:cs="Calibri"/>
          <w:b w:val="1"/>
          <w:bCs w:val="1"/>
          <w:i w:val="0"/>
          <w:iCs w:val="0"/>
          <w:caps w:val="0"/>
          <w:smallCaps w:val="0"/>
          <w:noProof w:val="0"/>
          <w:color w:val="365F91"/>
          <w:sz w:val="24"/>
          <w:szCs w:val="24"/>
          <w:lang w:val="en-US"/>
        </w:rPr>
        <w:t xml:space="preserve"> </w:t>
      </w:r>
    </w:p>
    <w:p w:rsidR="528D387D" w:rsidP="7AD16F0B" w:rsidRDefault="528D387D" w14:paraId="1E897474" w14:textId="39EA2E49">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category is for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mployees hired by the </w:t>
      </w:r>
      <w:r w:rsidRPr="7AD16F0B" w:rsidR="08076322">
        <w:rPr>
          <w:rFonts w:ascii="Calibri" w:hAnsi="Calibri" w:eastAsia="Calibri" w:cs="Calibri"/>
          <w:b w:val="1"/>
          <w:bCs w:val="1"/>
          <w:i w:val="0"/>
          <w:iCs w:val="0"/>
          <w:caps w:val="0"/>
          <w:smallCaps w:val="0"/>
          <w:noProof w:val="0"/>
          <w:color w:val="000000" w:themeColor="text1" w:themeTint="FF" w:themeShade="FF"/>
          <w:sz w:val="22"/>
          <w:szCs w:val="22"/>
          <w:lang w:val="en-US"/>
        </w:rPr>
        <w:t>fiscal agent (</w:t>
      </w:r>
      <w:r w:rsidRPr="7AD16F0B" w:rsidR="115B4BAE">
        <w:rPr>
          <w:rFonts w:ascii="Calibri" w:hAnsi="Calibri" w:eastAsia="Calibri" w:cs="Calibri"/>
          <w:b w:val="1"/>
          <w:bCs w:val="1"/>
          <w:i w:val="0"/>
          <w:iCs w:val="0"/>
          <w:caps w:val="0"/>
          <w:smallCaps w:val="0"/>
          <w:noProof w:val="0"/>
          <w:color w:val="000000" w:themeColor="text1" w:themeTint="FF" w:themeShade="FF"/>
          <w:sz w:val="22"/>
          <w:szCs w:val="22"/>
          <w:lang w:val="en-US"/>
        </w:rPr>
        <w:t>i.e.,</w:t>
      </w:r>
      <w:r w:rsidRPr="7AD16F0B" w:rsidR="0807632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the municipality)</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including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stipend</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ed</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positions</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not for </w:t>
      </w:r>
      <w:r w:rsidRPr="7AD16F0B" w:rsidR="08076322">
        <w:rPr>
          <w:rFonts w:ascii="Calibri" w:hAnsi="Calibri" w:eastAsia="Calibri" w:cs="Calibri"/>
          <w:b w:val="0"/>
          <w:bCs w:val="0"/>
          <w:i w:val="1"/>
          <w:iCs w:val="1"/>
          <w:caps w:val="0"/>
          <w:smallCaps w:val="0"/>
          <w:noProof w:val="0"/>
          <w:color w:val="000000" w:themeColor="text1" w:themeTint="FF" w:themeShade="FF"/>
          <w:sz w:val="22"/>
          <w:szCs w:val="22"/>
          <w:lang w:val="en-US"/>
        </w:rPr>
        <w:t>consultants or contractors</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1F9824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t>
      </w:r>
      <w:r w:rsidRPr="7AD16F0B" w:rsidR="28D077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municipalit</w:t>
      </w:r>
      <w:r w:rsidRPr="7AD16F0B" w:rsidR="17552EEA">
        <w:rPr>
          <w:rFonts w:ascii="Calibri" w:hAnsi="Calibri" w:eastAsia="Calibri" w:cs="Calibri"/>
          <w:b w:val="0"/>
          <w:bCs w:val="0"/>
          <w:i w:val="0"/>
          <w:iCs w:val="0"/>
          <w:caps w:val="0"/>
          <w:smallCaps w:val="0"/>
          <w:noProof w:val="0"/>
          <w:color w:val="000000" w:themeColor="text1" w:themeTint="FF" w:themeShade="FF"/>
          <w:sz w:val="22"/>
          <w:szCs w:val="22"/>
          <w:lang w:val="en-US"/>
        </w:rPr>
        <w:t>y is</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paying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teachers</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r w:rsidRPr="7AD16F0B" w:rsidR="0E21B3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staff directly out of their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payroll,</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w:t>
      </w:r>
      <w:r w:rsidRPr="7AD16F0B" w:rsidR="14B9F5A5">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ould be included in 51/</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52000. If the municipality is giving money to another entity, including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the school department</w:t>
      </w:r>
      <w:r w:rsidRPr="7AD16F0B" w:rsidR="24409B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a </w:t>
      </w:r>
      <w:r w:rsidRPr="7AD16F0B" w:rsidR="24409BEB">
        <w:rPr>
          <w:rFonts w:ascii="Calibri" w:hAnsi="Calibri" w:eastAsia="Calibri" w:cs="Calibri"/>
          <w:b w:val="0"/>
          <w:bCs w:val="0"/>
          <w:i w:val="0"/>
          <w:iCs w:val="0"/>
          <w:caps w:val="0"/>
          <w:smallCaps w:val="0"/>
          <w:noProof w:val="0"/>
          <w:color w:val="000000" w:themeColor="text1" w:themeTint="FF" w:themeShade="FF"/>
          <w:sz w:val="22"/>
          <w:szCs w:val="22"/>
          <w:lang w:val="en-US"/>
        </w:rPr>
        <w:t>community based</w:t>
      </w:r>
      <w:r w:rsidRPr="7AD16F0B" w:rsidR="24409BE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organization</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and that entity is paying teachers or other staff</w:t>
      </w:r>
      <w:r w:rsidRPr="7AD16F0B" w:rsidR="1E47AF8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out of their payroll</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24952D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then </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th</w:t>
      </w:r>
      <w:r w:rsidRPr="7AD16F0B" w:rsidR="19796766">
        <w:rPr>
          <w:rFonts w:ascii="Calibri" w:hAnsi="Calibri" w:eastAsia="Calibri" w:cs="Calibri"/>
          <w:b w:val="0"/>
          <w:bCs w:val="0"/>
          <w:i w:val="0"/>
          <w:iCs w:val="0"/>
          <w:caps w:val="0"/>
          <w:smallCaps w:val="0"/>
          <w:noProof w:val="0"/>
          <w:color w:val="000000" w:themeColor="text1" w:themeTint="FF" w:themeShade="FF"/>
          <w:sz w:val="22"/>
          <w:szCs w:val="22"/>
          <w:lang w:val="en-US"/>
        </w:rPr>
        <w:t>ey</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5AA94FD6">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ould be listed in 53000</w:t>
      </w:r>
      <w:r w:rsidRPr="7AD16F0B" w:rsidR="5E4F871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(see below)</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4A993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28D387D" w:rsidP="7AD16F0B" w:rsidRDefault="528D387D" w14:paraId="638901F8" w14:textId="2691715B">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8076322" w:rsidP="7AD16F0B" w:rsidRDefault="08076322" w14:paraId="2E1517FF" w14:textId="14779BB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If a position is salaried</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lease ensure that the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FTE of Position and % Paid for by this Grant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columns are complete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former</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should say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many Full-Time Equivalents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position is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(i.e.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1.00 FTE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0.33 FTE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etc</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latter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should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indicate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much of the position is paid for with this grant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as opposed to other funding sources</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If a position is hourly</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please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leave the FTE column blank and instead</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include the hours and rate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Position column</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Whether salaried or hourly</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each line should</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only list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amount paid for by </w:t>
      </w:r>
      <w:r w:rsidRPr="7AD16F0B" w:rsidR="6A2B657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funds</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If a position is dedicated full-time to th</w:t>
      </w:r>
      <w:r w:rsidRPr="7AD16F0B" w:rsidR="63C4CF0F">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7AD16F0B" w:rsidR="1BE571E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program</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is also supported through other funds, please note that in the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udget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arrative.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8076322" w:rsidP="7AD16F0B" w:rsidRDefault="08076322" w14:paraId="71214C6B" w14:textId="22428CA8">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1FB4C28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8076322" w:rsidP="7AD16F0B" w:rsidRDefault="08076322" w14:paraId="1BC50055" w14:textId="5D1F680F">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Every salary line</w:t>
      </w:r>
      <w:r w:rsidRPr="7AD16F0B" w:rsidR="132704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(51000)</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budgeted must have a corresponding fringe benefits amount</w:t>
      </w:r>
      <w:r w:rsidRPr="7AD16F0B" w:rsidR="6CD361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(52000)</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the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udget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arrative, please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indicate</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the fringe benefits were calculated and a brief description of what is included. </w:t>
      </w:r>
      <w:r w:rsidRPr="7AD16F0B" w:rsidR="53F7DEDD">
        <w:rPr>
          <w:rFonts w:ascii="Calibri" w:hAnsi="Calibri" w:eastAsia="Calibri" w:cs="Calibri"/>
          <w:b w:val="0"/>
          <w:bCs w:val="0"/>
          <w:i w:val="0"/>
          <w:iCs w:val="0"/>
          <w:caps w:val="0"/>
          <w:smallCaps w:val="0"/>
          <w:noProof w:val="0"/>
          <w:color w:val="000000" w:themeColor="text1" w:themeTint="FF" w:themeShade="FF"/>
          <w:sz w:val="22"/>
          <w:szCs w:val="22"/>
          <w:lang w:val="en-US"/>
        </w:rPr>
        <w:t>These</w:t>
      </w:r>
      <w:r w:rsidRPr="7AD16F0B" w:rsidR="2A14FC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funds should not be supplanting costs for fringe benefits covered by other funding sources (e.g.</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health insurance for school day teachers).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positions with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more than one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funding source, the percentage of salary paid by </w:t>
      </w:r>
      <w:r w:rsidRPr="7AD16F0B" w:rsidR="2C3BC472">
        <w:rPr>
          <w:rFonts w:ascii="Calibri" w:hAnsi="Calibri" w:eastAsia="Calibri" w:cs="Calibri"/>
          <w:b w:val="0"/>
          <w:bCs w:val="0"/>
          <w:i w:val="0"/>
          <w:iCs w:val="0"/>
          <w:caps w:val="0"/>
          <w:smallCaps w:val="0"/>
          <w:noProof w:val="0"/>
          <w:color w:val="000000" w:themeColor="text1" w:themeTint="FF" w:themeShade="FF"/>
          <w:sz w:val="22"/>
          <w:szCs w:val="22"/>
          <w:lang w:val="en-US"/>
        </w:rPr>
        <w:t>this</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grant must be the same as the percentage of fringe benefits</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paid by the grant</w:t>
      </w:r>
      <w:r w:rsidRPr="7AD16F0B" w:rsidR="0807632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1F8482B" w:rsidP="01F8482B" w:rsidRDefault="01F8482B" w14:paraId="26AC56E7" w14:textId="031096BA">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059BF1C" w:rsidP="01F8482B" w:rsidRDefault="2059BF1C" w14:paraId="64C72E0A" w14:textId="4A74689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Stipend</w:t>
      </w: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ed</w:t>
      </w: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positions: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are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provid</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ing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stipend to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someone for their services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including students –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are paying them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through payroll</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then they should be included in 51000/52000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Employee Compensation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and Benefits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you are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cutting them a check separately</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treating them as a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vendor</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consultant, then they should be included in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53000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Professional &amp; Technical Services.</w:t>
      </w:r>
    </w:p>
    <w:p w:rsidR="01F8482B" w:rsidP="01F8482B" w:rsidRDefault="01F8482B" w14:paraId="6E9811AD" w14:textId="1374C871">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059BF1C" w:rsidP="01F8482B" w:rsidRDefault="2059BF1C" w14:paraId="09FFF5EA" w14:textId="4DAAFD0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Student </w:t>
      </w: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s</w:t>
      </w: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tipends: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are an allowable expense, but 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imply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providing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stipend for attending the program is </w:t>
      </w:r>
      <w:r w:rsidRPr="01F8482B" w:rsidR="2059BF1C">
        <w:rPr>
          <w:rFonts w:ascii="Calibri" w:hAnsi="Calibri" w:eastAsia="Calibri" w:cs="Calibri"/>
          <w:b w:val="0"/>
          <w:bCs w:val="0"/>
          <w:i w:val="1"/>
          <w:iCs w:val="1"/>
          <w:caps w:val="0"/>
          <w:smallCaps w:val="0"/>
          <w:strike w:val="0"/>
          <w:dstrike w:val="0"/>
          <w:noProof w:val="0"/>
          <w:color w:val="000000" w:themeColor="text1" w:themeTint="FF" w:themeShade="FF"/>
          <w:sz w:val="22"/>
          <w:szCs w:val="22"/>
          <w:u w:val="single"/>
          <w:lang w:val="en-US"/>
        </w:rPr>
        <w:t>not</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allowable.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Students must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produce some kind of deliverable or provide a service</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stipends to be allowable</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should be outlined in the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udget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arrative</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must be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some tangible benefit to others or to the program. </w:t>
      </w:r>
    </w:p>
    <w:p w:rsidR="01F8482B" w:rsidP="01F8482B" w:rsidRDefault="01F8482B" w14:paraId="2F8BE536" w14:textId="4902D4D8">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059BF1C" w:rsidP="01F8482B" w:rsidRDefault="2059BF1C" w14:paraId="66325F3D" w14:textId="7C0F5BCC">
      <w:pPr>
        <w:pStyle w:val="Heading2"/>
        <w:keepNext w:val="1"/>
        <w:keepLines w:val="1"/>
        <w:spacing w:after="0" w:line="276" w:lineRule="auto"/>
        <w:rPr>
          <w:rFonts w:ascii="Calibri" w:hAnsi="Calibri" w:eastAsia="Calibri" w:cs="Calibri"/>
          <w:b w:val="1"/>
          <w:bCs w:val="1"/>
          <w:i w:val="0"/>
          <w:iCs w:val="0"/>
          <w:caps w:val="0"/>
          <w:smallCaps w:val="0"/>
          <w:noProof w:val="0"/>
          <w:color w:val="365F91"/>
          <w:sz w:val="24"/>
          <w:szCs w:val="24"/>
          <w:lang w:val="en-US"/>
        </w:rPr>
      </w:pPr>
      <w:r w:rsidRPr="01F8482B" w:rsidR="2059BF1C">
        <w:rPr>
          <w:rFonts w:ascii="Calibri" w:hAnsi="Calibri" w:eastAsia="Calibri" w:cs="Calibri"/>
          <w:b w:val="1"/>
          <w:bCs w:val="1"/>
          <w:i w:val="0"/>
          <w:iCs w:val="0"/>
          <w:caps w:val="0"/>
          <w:smallCaps w:val="0"/>
          <w:noProof w:val="0"/>
          <w:color w:val="365F91"/>
          <w:sz w:val="24"/>
          <w:szCs w:val="24"/>
          <w:lang w:val="en-US"/>
        </w:rPr>
        <w:t>C</w:t>
      </w:r>
      <w:r w:rsidRPr="01F8482B" w:rsidR="2059BF1C">
        <w:rPr>
          <w:rFonts w:ascii="Calibri" w:hAnsi="Calibri" w:eastAsia="Calibri" w:cs="Calibri"/>
          <w:b w:val="1"/>
          <w:bCs w:val="1"/>
          <w:i w:val="0"/>
          <w:iCs w:val="0"/>
          <w:caps w:val="0"/>
          <w:smallCaps w:val="0"/>
          <w:noProof w:val="0"/>
          <w:color w:val="365F91"/>
          <w:sz w:val="24"/>
          <w:szCs w:val="24"/>
          <w:lang w:val="en-US"/>
        </w:rPr>
        <w:t>ategor</w:t>
      </w:r>
      <w:r w:rsidRPr="01F8482B" w:rsidR="2059BF1C">
        <w:rPr>
          <w:rFonts w:ascii="Calibri" w:hAnsi="Calibri" w:eastAsia="Calibri" w:cs="Calibri"/>
          <w:b w:val="1"/>
          <w:bCs w:val="1"/>
          <w:i w:val="0"/>
          <w:iCs w:val="0"/>
          <w:caps w:val="0"/>
          <w:smallCaps w:val="0"/>
          <w:noProof w:val="0"/>
          <w:color w:val="365F91"/>
          <w:sz w:val="24"/>
          <w:szCs w:val="24"/>
          <w:lang w:val="en-US"/>
        </w:rPr>
        <w:t>ies</w:t>
      </w:r>
      <w:r w:rsidRPr="01F8482B" w:rsidR="2059BF1C">
        <w:rPr>
          <w:rFonts w:ascii="Calibri" w:hAnsi="Calibri" w:eastAsia="Calibri" w:cs="Calibri"/>
          <w:b w:val="1"/>
          <w:bCs w:val="1"/>
          <w:i w:val="0"/>
          <w:iCs w:val="0"/>
          <w:caps w:val="0"/>
          <w:smallCaps w:val="0"/>
          <w:noProof w:val="0"/>
          <w:color w:val="365F91"/>
          <w:sz w:val="24"/>
          <w:szCs w:val="24"/>
          <w:lang w:val="en-US"/>
        </w:rPr>
        <w:t xml:space="preserve"> 53000</w:t>
      </w:r>
      <w:r w:rsidRPr="01F8482B" w:rsidR="2059BF1C">
        <w:rPr>
          <w:rFonts w:ascii="Calibri" w:hAnsi="Calibri" w:eastAsia="Calibri" w:cs="Calibri"/>
          <w:b w:val="1"/>
          <w:bCs w:val="1"/>
          <w:i w:val="0"/>
          <w:iCs w:val="0"/>
          <w:caps w:val="0"/>
          <w:smallCaps w:val="0"/>
          <w:noProof w:val="0"/>
          <w:color w:val="365F91"/>
          <w:sz w:val="24"/>
          <w:szCs w:val="24"/>
          <w:lang w:val="en-US"/>
        </w:rPr>
        <w:t>/54000/55000</w:t>
      </w:r>
      <w:r w:rsidRPr="01F8482B" w:rsidR="2059BF1C">
        <w:rPr>
          <w:rFonts w:ascii="Calibri" w:hAnsi="Calibri" w:eastAsia="Calibri" w:cs="Calibri"/>
          <w:b w:val="1"/>
          <w:bCs w:val="1"/>
          <w:i w:val="0"/>
          <w:iCs w:val="0"/>
          <w:caps w:val="0"/>
          <w:smallCaps w:val="0"/>
          <w:noProof w:val="0"/>
          <w:color w:val="365F91"/>
          <w:sz w:val="24"/>
          <w:szCs w:val="24"/>
          <w:lang w:val="en-US"/>
        </w:rPr>
        <w:t xml:space="preserve"> Purchased Services</w:t>
      </w:r>
      <w:r w:rsidRPr="01F8482B" w:rsidR="2059BF1C">
        <w:rPr>
          <w:rFonts w:ascii="Calibri" w:hAnsi="Calibri" w:eastAsia="Calibri" w:cs="Calibri"/>
          <w:b w:val="1"/>
          <w:bCs w:val="1"/>
          <w:i w:val="0"/>
          <w:iCs w:val="0"/>
          <w:caps w:val="0"/>
          <w:smallCaps w:val="0"/>
          <w:noProof w:val="0"/>
          <w:color w:val="365F91"/>
          <w:sz w:val="24"/>
          <w:szCs w:val="24"/>
          <w:lang w:val="en-US"/>
        </w:rPr>
        <w:t xml:space="preserve"> </w:t>
      </w:r>
    </w:p>
    <w:p w:rsidR="2059BF1C" w:rsidP="01F8482B" w:rsidRDefault="2059BF1C" w14:paraId="087C1BB1" w14:textId="657F95FF">
      <w:pPr>
        <w:pStyle w:val="ListParagraph"/>
        <w:numPr>
          <w:ilvl w:val="0"/>
          <w:numId w:val="2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2059BF1C">
        <w:rPr>
          <w:rFonts w:ascii="Calibri" w:hAnsi="Calibri" w:eastAsia="Calibri" w:cs="Calibri"/>
          <w:b w:val="1"/>
          <w:bCs w:val="1"/>
          <w:i w:val="0"/>
          <w:iCs w:val="0"/>
          <w:caps w:val="0"/>
          <w:smallCaps w:val="0"/>
          <w:noProof w:val="0"/>
          <w:color w:val="000000" w:themeColor="text1" w:themeTint="FF" w:themeShade="FF"/>
          <w:sz w:val="22"/>
          <w:szCs w:val="22"/>
          <w:lang w:val="en-US"/>
        </w:rPr>
        <w:t>53000 Professional &amp; Technical Services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is for</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temporary contracted services, evaluations &amp; testing, legal, audit, food</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travel to conferences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training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&amp;</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professional development</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services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6A382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A382DB9" w:rsidP="528D387D" w:rsidRDefault="6A382DB9" w14:paraId="7631CA45" w14:textId="69862DC0">
      <w:pPr>
        <w:pStyle w:val="ListParagraph"/>
        <w:numPr>
          <w:ilvl w:val="1"/>
          <w:numId w:val="2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28D387D" w:rsidR="6A382D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are contracting with a community-based organization </w:t>
      </w:r>
      <w:r w:rsidRPr="528D387D" w:rsidR="52BDA99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they are hiring </w:t>
      </w:r>
      <w:r w:rsidRPr="528D387D" w:rsidR="08D82E08">
        <w:rPr>
          <w:rFonts w:ascii="Calibri" w:hAnsi="Calibri" w:eastAsia="Calibri" w:cs="Calibri"/>
          <w:b w:val="0"/>
          <w:bCs w:val="0"/>
          <w:i w:val="0"/>
          <w:iCs w:val="0"/>
          <w:caps w:val="0"/>
          <w:smallCaps w:val="0"/>
          <w:noProof w:val="0"/>
          <w:color w:val="000000" w:themeColor="text1" w:themeTint="FF" w:themeShade="FF"/>
          <w:sz w:val="22"/>
          <w:szCs w:val="22"/>
          <w:lang w:val="en-US"/>
        </w:rPr>
        <w:t>staff or</w:t>
      </w:r>
      <w:r w:rsidRPr="528D387D" w:rsidR="08D82E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purchasing supplies </w:t>
      </w:r>
      <w:r w:rsidRPr="528D387D" w:rsidR="012D4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directly through </w:t>
      </w:r>
      <w:r w:rsidRPr="528D387D" w:rsidR="59FCE771">
        <w:rPr>
          <w:rFonts w:ascii="Calibri" w:hAnsi="Calibri" w:eastAsia="Calibri" w:cs="Calibri"/>
          <w:b w:val="0"/>
          <w:bCs w:val="0"/>
          <w:i w:val="0"/>
          <w:iCs w:val="0"/>
          <w:caps w:val="0"/>
          <w:smallCaps w:val="0"/>
          <w:noProof w:val="0"/>
          <w:color w:val="000000" w:themeColor="text1" w:themeTint="FF" w:themeShade="FF"/>
          <w:sz w:val="22"/>
          <w:szCs w:val="22"/>
          <w:lang w:val="en-US"/>
        </w:rPr>
        <w:t>that contract</w:t>
      </w:r>
      <w:r w:rsidRPr="528D387D" w:rsidR="012D4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municipality, they should be listed under 53000</w:t>
      </w:r>
      <w:r w:rsidRPr="528D387D" w:rsidR="1B9D9A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28D387D" w:rsidR="012D4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28D387D" w:rsidR="394F5A0A">
        <w:rPr>
          <w:rFonts w:ascii="Calibri" w:hAnsi="Calibri" w:eastAsia="Calibri" w:cs="Calibri"/>
          <w:b w:val="0"/>
          <w:bCs w:val="0"/>
          <w:i w:val="0"/>
          <w:iCs w:val="0"/>
          <w:caps w:val="0"/>
          <w:smallCaps w:val="0"/>
          <w:noProof w:val="0"/>
          <w:color w:val="000000" w:themeColor="text1" w:themeTint="FF" w:themeShade="FF"/>
          <w:sz w:val="22"/>
          <w:szCs w:val="22"/>
          <w:lang w:val="en-US"/>
        </w:rPr>
        <w:t>U</w:t>
      </w:r>
      <w:r w:rsidRPr="528D387D" w:rsidR="012D4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 the Budget Narrative to break out the cost basis for the overall </w:t>
      </w:r>
      <w:r w:rsidRPr="528D387D" w:rsidR="305006EE">
        <w:rPr>
          <w:rFonts w:ascii="Calibri" w:hAnsi="Calibri" w:eastAsia="Calibri" w:cs="Calibri"/>
          <w:b w:val="0"/>
          <w:bCs w:val="0"/>
          <w:i w:val="0"/>
          <w:iCs w:val="0"/>
          <w:caps w:val="0"/>
          <w:smallCaps w:val="0"/>
          <w:noProof w:val="0"/>
          <w:color w:val="000000" w:themeColor="text1" w:themeTint="FF" w:themeShade="FF"/>
          <w:sz w:val="22"/>
          <w:szCs w:val="22"/>
          <w:lang w:val="en-US"/>
        </w:rPr>
        <w:t>amount awarded to the</w:t>
      </w:r>
      <w:r w:rsidRPr="528D387D" w:rsidR="5E207B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CBO in the contract</w:t>
      </w:r>
      <w:r w:rsidRPr="528D387D" w:rsidR="5E207BA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28D387D" w:rsidR="305006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059BF1C" w:rsidP="01F8482B" w:rsidRDefault="2059BF1C" w14:paraId="5AEA8800" w14:textId="6A340F93">
      <w:pPr>
        <w:pStyle w:val="ListParagraph"/>
        <w:numPr>
          <w:ilvl w:val="1"/>
          <w:numId w:val="2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budget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requests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contain</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multiple items under a single heading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such as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After-School Programming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Providers</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include</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following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description</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justification</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columns of the budget and/or in the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b</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udget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n</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arrative</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043D39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059BF1C" w:rsidP="01F8482B" w:rsidRDefault="2059BF1C" w14:paraId="647409E9" w14:textId="509ECF00">
      <w:pPr>
        <w:pStyle w:val="ListParagraph"/>
        <w:numPr>
          <w:ilvl w:val="2"/>
          <w:numId w:val="2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know who your providers will be, your description should include the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nticipated</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amount per provider</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the amount is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determined</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(e.g.</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flat rate or hourly rate),</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number of students to be served</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each provider</w:t>
      </w:r>
      <w:r w:rsidRPr="01F8482B" w:rsidR="2059BF1C">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1F8482B" w:rsidP="01F8482B" w:rsidRDefault="01F8482B" w14:paraId="71107359" w14:textId="523C7160">
      <w:pPr>
        <w:pStyle w:val="Normal"/>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B1F060" w:rsidP="01F8482B" w:rsidRDefault="5EB1F060" w14:paraId="54B27A72" w14:textId="0C304B3E">
      <w:pPr>
        <w:pStyle w:val="ListParagraph"/>
        <w:numPr>
          <w:ilvl w:val="0"/>
          <w:numId w:val="2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5EB1F060">
        <w:rPr>
          <w:rFonts w:ascii="Calibri" w:hAnsi="Calibri" w:eastAsia="Calibri" w:cs="Calibri"/>
          <w:b w:val="1"/>
          <w:bCs w:val="1"/>
          <w:i w:val="0"/>
          <w:iCs w:val="0"/>
          <w:caps w:val="0"/>
          <w:smallCaps w:val="0"/>
          <w:noProof w:val="0"/>
          <w:color w:val="000000" w:themeColor="text1" w:themeTint="FF" w:themeShade="FF"/>
          <w:sz w:val="22"/>
          <w:szCs w:val="22"/>
          <w:lang w:val="en-US"/>
        </w:rPr>
        <w:t>54000 Property Services</w:t>
      </w:r>
      <w:r w:rsidRPr="01F8482B" w:rsidR="5EB1F0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for cleaning, repairs and maintenance, utilities, rentals, telephone, internet &amp; wireless. </w:t>
      </w:r>
    </w:p>
    <w:p w:rsidR="5EB1F060" w:rsidP="01F8482B" w:rsidRDefault="5EB1F060" w14:paraId="6DF3B03A" w14:textId="39D5F88D">
      <w:pPr>
        <w:pStyle w:val="ListParagraph"/>
        <w:numPr>
          <w:ilvl w:val="0"/>
          <w:numId w:val="20"/>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5EB1F060">
        <w:rPr>
          <w:rFonts w:ascii="Calibri" w:hAnsi="Calibri" w:eastAsia="Calibri" w:cs="Calibri"/>
          <w:b w:val="1"/>
          <w:bCs w:val="1"/>
          <w:i w:val="0"/>
          <w:iCs w:val="0"/>
          <w:caps w:val="0"/>
          <w:smallCaps w:val="0"/>
          <w:noProof w:val="0"/>
          <w:color w:val="000000" w:themeColor="text1" w:themeTint="FF" w:themeShade="FF"/>
          <w:sz w:val="22"/>
          <w:szCs w:val="22"/>
          <w:lang w:val="en-US"/>
        </w:rPr>
        <w:t>55000 Other Services</w:t>
      </w:r>
      <w:r w:rsidRPr="01F8482B" w:rsidR="5EB1F06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for services such as transportation, insurance, advertising, printing, tuition, travel &amp; hotel expenses related to attendance at trainings.</w:t>
      </w:r>
    </w:p>
    <w:p w:rsidR="0AA3D046" w:rsidP="09C1BF25" w:rsidRDefault="0AA3D046" w14:paraId="5F0B5C66" w14:textId="49209CF9">
      <w:pPr>
        <w:pStyle w:val="Heading2"/>
        <w:keepNext w:val="1"/>
        <w:keepLines w:val="1"/>
        <w:spacing w:after="0" w:line="276" w:lineRule="auto"/>
        <w:ind w:left="0"/>
        <w:jc w:val="left"/>
        <w:rPr>
          <w:rFonts w:ascii="Calibri" w:hAnsi="Calibri" w:eastAsia="Calibri" w:cs="Calibri"/>
          <w:b w:val="1"/>
          <w:bCs w:val="1"/>
          <w:i w:val="0"/>
          <w:iCs w:val="0"/>
          <w:caps w:val="0"/>
          <w:smallCaps w:val="0"/>
          <w:noProof w:val="0"/>
          <w:color w:val="365F91"/>
          <w:sz w:val="24"/>
          <w:szCs w:val="24"/>
          <w:lang w:val="en-US"/>
        </w:rPr>
      </w:pPr>
      <w:r>
        <w:br/>
      </w:r>
      <w:r w:rsidRPr="09C1BF25" w:rsidR="0AA3D046">
        <w:rPr>
          <w:rFonts w:ascii="Calibri" w:hAnsi="Calibri" w:eastAsia="Calibri" w:cs="Calibri"/>
          <w:b w:val="1"/>
          <w:bCs w:val="1"/>
          <w:i w:val="0"/>
          <w:iCs w:val="0"/>
          <w:caps w:val="0"/>
          <w:smallCaps w:val="0"/>
          <w:noProof w:val="0"/>
          <w:color w:val="365F91"/>
          <w:sz w:val="24"/>
          <w:szCs w:val="24"/>
          <w:lang w:val="en-US"/>
        </w:rPr>
        <w:t>C</w:t>
      </w:r>
      <w:r w:rsidRPr="09C1BF25" w:rsidR="0AA3D046">
        <w:rPr>
          <w:rFonts w:ascii="Calibri" w:hAnsi="Calibri" w:eastAsia="Calibri" w:cs="Calibri"/>
          <w:b w:val="1"/>
          <w:bCs w:val="1"/>
          <w:i w:val="0"/>
          <w:iCs w:val="0"/>
          <w:caps w:val="0"/>
          <w:smallCaps w:val="0"/>
          <w:noProof w:val="0"/>
          <w:color w:val="365F91"/>
          <w:sz w:val="24"/>
          <w:szCs w:val="24"/>
          <w:lang w:val="en-US"/>
        </w:rPr>
        <w:t>ategory 56000 Supplies &amp; Materials</w:t>
      </w:r>
      <w:r w:rsidRPr="09C1BF25" w:rsidR="0AA3D046">
        <w:rPr>
          <w:rFonts w:ascii="Calibri" w:hAnsi="Calibri" w:eastAsia="Calibri" w:cs="Calibri"/>
          <w:b w:val="1"/>
          <w:bCs w:val="1"/>
          <w:i w:val="0"/>
          <w:iCs w:val="0"/>
          <w:caps w:val="0"/>
          <w:smallCaps w:val="0"/>
          <w:noProof w:val="0"/>
          <w:color w:val="365F91"/>
          <w:sz w:val="24"/>
          <w:szCs w:val="24"/>
          <w:lang w:val="en-US"/>
        </w:rPr>
        <w:t xml:space="preserve"> </w:t>
      </w:r>
    </w:p>
    <w:p w:rsidR="0AA3D046" w:rsidP="01F8482B" w:rsidRDefault="0AA3D046" w14:paraId="7B97126E" w14:textId="48D7E65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category is for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consumables and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general supplies</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including program supplies or office supplies</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books,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maintenance supplies</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budget items that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contain</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multiple items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under a single heading such as p</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rogram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upplies or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o</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ffice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upplies, grantees should include the following in their written description/justification:</w:t>
      </w:r>
    </w:p>
    <w:p w:rsidR="0AA3D046" w:rsidP="01F8482B" w:rsidRDefault="0AA3D046" w14:paraId="105596F1" w14:textId="0A6B2A59">
      <w:pPr>
        <w:pStyle w:val="ListParagraph"/>
        <w:numPr>
          <w:ilvl w:val="0"/>
          <w:numId w:val="25"/>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mostly know what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items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you will be buying, your description should include the</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actual amounts to be spent</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group together generic items such as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paper, pens,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post-it</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notes,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etc.</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as long as</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total amount is under $1,000.</w:t>
      </w:r>
    </w:p>
    <w:p w:rsidR="0AA3D046" w:rsidP="09C1BF25" w:rsidRDefault="0AA3D046" w14:paraId="018822D7" w14:textId="33ED368B">
      <w:pPr>
        <w:pStyle w:val="ListParagraph"/>
        <w:keepNext w:val="1"/>
        <w:keepLines w:val="1"/>
        <w:numPr>
          <w:ilvl w:val="0"/>
          <w:numId w:val="25"/>
        </w:numPr>
        <w:spacing w:after="0" w:line="276" w:lineRule="auto"/>
        <w:rPr>
          <w:rFonts w:ascii="Calibri" w:hAnsi="Calibri" w:eastAsia="Calibri" w:cs="Calibri"/>
          <w:b w:val="1"/>
          <w:bCs w:val="1"/>
          <w:i w:val="0"/>
          <w:iCs w:val="0"/>
          <w:caps w:val="0"/>
          <w:smallCaps w:val="0"/>
          <w:noProof w:val="0"/>
          <w:color w:val="365F91"/>
          <w:sz w:val="24"/>
          <w:szCs w:val="24"/>
          <w:lang w:val="en-US"/>
        </w:rPr>
      </w:pP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If you mostly do not know what specific items you will be buying,</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your description should include </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whatever planning values you use</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cost per student, a</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verage expenditures in the past)</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along with examples </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some of the higher dollar amount items that are typically </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purchased</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category</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AA3D046" w:rsidP="09C1BF25" w:rsidRDefault="0AA3D046" w14:paraId="4C25AB53" w14:textId="42DE6EB2">
      <w:pPr>
        <w:pStyle w:val="Normal"/>
        <w:keepNext w:val="1"/>
        <w:keepLines w:val="1"/>
        <w:spacing w:after="0" w:line="276" w:lineRule="auto"/>
        <w:ind w:left="0"/>
        <w:rPr>
          <w:rFonts w:ascii="Calibri" w:hAnsi="Calibri" w:eastAsia="Calibri" w:cs="Calibri"/>
          <w:b w:val="1"/>
          <w:bCs w:val="1"/>
          <w:i w:val="0"/>
          <w:iCs w:val="0"/>
          <w:caps w:val="0"/>
          <w:smallCaps w:val="0"/>
          <w:noProof w:val="0"/>
          <w:color w:val="365F91"/>
          <w:sz w:val="24"/>
          <w:szCs w:val="24"/>
          <w:lang w:val="en-US"/>
        </w:rPr>
      </w:pPr>
      <w:r>
        <w:br/>
      </w:r>
      <w:r w:rsidRPr="09C1BF25" w:rsidR="0AA3D046">
        <w:rPr>
          <w:rFonts w:ascii="Calibri" w:hAnsi="Calibri" w:eastAsia="Calibri" w:cs="Calibri"/>
          <w:b w:val="1"/>
          <w:bCs w:val="1"/>
          <w:i w:val="0"/>
          <w:iCs w:val="0"/>
          <w:caps w:val="0"/>
          <w:smallCaps w:val="0"/>
          <w:noProof w:val="0"/>
          <w:color w:val="365F91"/>
          <w:sz w:val="24"/>
          <w:szCs w:val="24"/>
          <w:lang w:val="en-US"/>
        </w:rPr>
        <w:t>Category 57000 Property &amp; Equipment</w:t>
      </w:r>
      <w:r w:rsidRPr="09C1BF25" w:rsidR="0AA3D046">
        <w:rPr>
          <w:rFonts w:ascii="Calibri" w:hAnsi="Calibri" w:eastAsia="Calibri" w:cs="Calibri"/>
          <w:b w:val="1"/>
          <w:bCs w:val="1"/>
          <w:i w:val="0"/>
          <w:iCs w:val="0"/>
          <w:caps w:val="0"/>
          <w:smallCaps w:val="0"/>
          <w:noProof w:val="0"/>
          <w:color w:val="365F91"/>
          <w:sz w:val="24"/>
          <w:szCs w:val="24"/>
          <w:lang w:val="en-US"/>
        </w:rPr>
        <w:t xml:space="preserve"> </w:t>
      </w:r>
    </w:p>
    <w:p w:rsidR="0AA3D046" w:rsidP="784CFD08" w:rsidRDefault="0AA3D046" w14:paraId="702ABD83" w14:textId="45BFB2AB">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category is for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furniture, technology – hardware &amp; software, and other equipment</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Although federal guidance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technically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defines equipment as purchases of $5000 or more, for the purposes of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RIDE budget requests, please include smaller non-consumable items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particularly electronics,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this category.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Purchases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equipment</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must be reasonable in cost and necessary to furthering the goals of </w:t>
      </w:r>
      <w:r w:rsidRPr="784CFD08" w:rsidR="202B9686">
        <w:rPr>
          <w:rFonts w:ascii="Calibri" w:hAnsi="Calibri" w:eastAsia="Calibri" w:cs="Calibri"/>
          <w:b w:val="0"/>
          <w:bCs w:val="0"/>
          <w:i w:val="0"/>
          <w:iCs w:val="0"/>
          <w:caps w:val="0"/>
          <w:smallCaps w:val="0"/>
          <w:noProof w:val="0"/>
          <w:color w:val="000000" w:themeColor="text1" w:themeTint="FF" w:themeShade="FF"/>
          <w:sz w:val="22"/>
          <w:szCs w:val="22"/>
          <w:lang w:val="en-US"/>
        </w:rPr>
        <w:t>this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Grant. Use of the equipment must be limited to th</w:t>
      </w:r>
      <w:r w:rsidRPr="784CFD08" w:rsidR="111B8D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project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only and cannot be </w:t>
      </w:r>
      <w:r w:rsidRPr="784CFD08" w:rsidR="7986FD6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used for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w:t>
      </w:r>
      <w:r w:rsidRPr="784CFD08" w:rsidR="14311C07">
        <w:rPr>
          <w:rFonts w:ascii="Calibri" w:hAnsi="Calibri" w:eastAsia="Calibri" w:cs="Calibri"/>
          <w:b w:val="0"/>
          <w:bCs w:val="0"/>
          <w:i w:val="0"/>
          <w:iCs w:val="0"/>
          <w:caps w:val="0"/>
          <w:smallCaps w:val="0"/>
          <w:noProof w:val="0"/>
          <w:color w:val="000000" w:themeColor="text1" w:themeTint="FF" w:themeShade="FF"/>
          <w:sz w:val="22"/>
          <w:szCs w:val="22"/>
          <w:lang w:val="en-US"/>
        </w:rPr>
        <w:t>programs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unless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other funding sources are used (see bullet on Allocable expenses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“Guiding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Principals</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in Section I</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 xml:space="preserve">Please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provide</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 xml:space="preserve">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 xml:space="preserve">an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 xml:space="preserve">affirmation in the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b</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 xml:space="preserve">udget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n</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 xml:space="preserve">arrative that any equipment will </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u w:val="single"/>
          <w:lang w:val="en-US"/>
        </w:rPr>
        <w:t>be</w:t>
      </w:r>
      <w:r w:rsidRPr="784CFD08"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AA3D046" w:rsidP="01F8482B" w:rsidRDefault="0AA3D046" w14:paraId="565101CB" w14:textId="2D7CDB46">
      <w:pPr>
        <w:pStyle w:val="ListParagraph"/>
        <w:numPr>
          <w:ilvl w:val="0"/>
          <w:numId w:val="27"/>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used exclusively by the grant (or proportionately if costs are shared with another funding source)</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AA3D046" w:rsidP="09C1BF25" w:rsidRDefault="0AA3D046" w14:paraId="0C73E2F1" w14:textId="4BE685FA">
      <w:pPr>
        <w:pStyle w:val="ListParagraph"/>
        <w:numPr>
          <w:ilvl w:val="0"/>
          <w:numId w:val="27"/>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tagged accordingly</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9C1BF25" w:rsidR="56370828">
        <w:rPr>
          <w:rFonts w:ascii="Calibri" w:hAnsi="Calibri" w:eastAsia="Calibri" w:cs="Calibri"/>
          <w:b w:val="0"/>
          <w:bCs w:val="0"/>
          <w:i w:val="0"/>
          <w:iCs w:val="0"/>
          <w:caps w:val="0"/>
          <w:smallCaps w:val="0"/>
          <w:noProof w:val="0"/>
          <w:color w:val="000000" w:themeColor="text1" w:themeTint="FF" w:themeShade="FF"/>
          <w:sz w:val="22"/>
          <w:szCs w:val="22"/>
          <w:lang w:val="en-US"/>
        </w:rPr>
        <w:t>and</w:t>
      </w:r>
    </w:p>
    <w:p w:rsidR="0AA3D046" w:rsidP="09C1BF25" w:rsidRDefault="0AA3D046" w14:paraId="6703B2D5" w14:textId="75563E27">
      <w:pPr>
        <w:pStyle w:val="ListParagraph"/>
        <w:numPr>
          <w:ilvl w:val="0"/>
          <w:numId w:val="27"/>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stored securely</w:t>
      </w:r>
      <w:r w:rsidRPr="09C1BF25" w:rsidR="0AA3D046">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3665135" w:rsidP="09C1BF25" w:rsidRDefault="43665135" w14:paraId="54AFA5B8" w14:textId="532AA297">
      <w:pPr>
        <w:pStyle w:val="Heading2"/>
        <w:keepNext w:val="1"/>
        <w:keepLines w:val="1"/>
        <w:spacing w:after="0" w:line="276" w:lineRule="auto"/>
        <w:ind w:left="0"/>
        <w:jc w:val="left"/>
        <w:rPr>
          <w:rFonts w:ascii="Calibri" w:hAnsi="Calibri" w:eastAsia="Calibri" w:cs="Calibri"/>
          <w:b w:val="1"/>
          <w:bCs w:val="1"/>
          <w:i w:val="0"/>
          <w:iCs w:val="0"/>
          <w:caps w:val="0"/>
          <w:smallCaps w:val="0"/>
          <w:noProof w:val="0"/>
          <w:color w:val="365F91"/>
          <w:sz w:val="24"/>
          <w:szCs w:val="24"/>
          <w:lang w:val="en-US"/>
        </w:rPr>
      </w:pPr>
      <w:r>
        <w:br/>
      </w:r>
      <w:r w:rsidRPr="09C1BF25" w:rsidR="43665135">
        <w:rPr>
          <w:rFonts w:ascii="Calibri" w:hAnsi="Calibri" w:eastAsia="Calibri" w:cs="Calibri"/>
          <w:b w:val="1"/>
          <w:bCs w:val="1"/>
          <w:i w:val="0"/>
          <w:iCs w:val="0"/>
          <w:caps w:val="0"/>
          <w:smallCaps w:val="0"/>
          <w:noProof w:val="0"/>
          <w:color w:val="365F91"/>
          <w:sz w:val="24"/>
          <w:szCs w:val="24"/>
          <w:lang w:val="en-US"/>
        </w:rPr>
        <w:t>Category 58000 Miscellaneous</w:t>
      </w:r>
      <w:r w:rsidRPr="09C1BF25" w:rsidR="43665135">
        <w:rPr>
          <w:rFonts w:ascii="Calibri" w:hAnsi="Calibri" w:eastAsia="Calibri" w:cs="Calibri"/>
          <w:b w:val="1"/>
          <w:bCs w:val="1"/>
          <w:i w:val="0"/>
          <w:iCs w:val="0"/>
          <w:caps w:val="0"/>
          <w:smallCaps w:val="0"/>
          <w:noProof w:val="0"/>
          <w:color w:val="365F91"/>
          <w:sz w:val="24"/>
          <w:szCs w:val="24"/>
          <w:lang w:val="en-US"/>
        </w:rPr>
        <w:t xml:space="preserve"> </w:t>
      </w:r>
    </w:p>
    <w:p w:rsidR="43665135" w:rsidP="01F8482B" w:rsidRDefault="43665135" w14:paraId="0B5F2D8C" w14:textId="216B5AD6">
      <w:pPr>
        <w:pStyle w:val="Normal"/>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category is for things that do not fall under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any of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the above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categories. </w:t>
      </w:r>
    </w:p>
    <w:p w:rsidR="43665135" w:rsidP="01F8482B" w:rsidRDefault="43665135" w14:paraId="4DE880F9" w14:textId="668E8080">
      <w:pPr>
        <w:pStyle w:val="Heading2"/>
        <w:keepNext w:val="1"/>
        <w:keepLines w:val="1"/>
        <w:spacing w:after="0" w:line="276" w:lineRule="auto"/>
        <w:rPr>
          <w:rFonts w:ascii="Calibri" w:hAnsi="Calibri" w:eastAsia="Calibri" w:cs="Calibri"/>
          <w:b w:val="1"/>
          <w:bCs w:val="1"/>
          <w:i w:val="0"/>
          <w:iCs w:val="0"/>
          <w:caps w:val="0"/>
          <w:smallCaps w:val="0"/>
          <w:noProof w:val="0"/>
          <w:color w:val="365F91"/>
          <w:sz w:val="24"/>
          <w:szCs w:val="24"/>
          <w:lang w:val="en-US"/>
        </w:rPr>
      </w:pPr>
      <w:r w:rsidRPr="01F8482B" w:rsidR="43665135">
        <w:rPr>
          <w:rFonts w:ascii="Calibri" w:hAnsi="Calibri" w:eastAsia="Calibri" w:cs="Calibri"/>
          <w:b w:val="1"/>
          <w:bCs w:val="1"/>
          <w:i w:val="0"/>
          <w:iCs w:val="0"/>
          <w:caps w:val="0"/>
          <w:smallCaps w:val="0"/>
          <w:noProof w:val="0"/>
          <w:color w:val="365F91"/>
          <w:sz w:val="24"/>
          <w:szCs w:val="24"/>
          <w:lang w:val="en-US"/>
        </w:rPr>
        <w:t>Category 60000 Indirect</w:t>
      </w:r>
    </w:p>
    <w:p w:rsidR="43665135" w:rsidP="01F8482B" w:rsidRDefault="43665135" w14:paraId="36EDCC6C" w14:textId="1375A68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take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indirect fee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should be calculated not on the full amount of your grant, but instead as a percentage of eligible expenditures.</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Eligible expenditures are all items in categories 51000, 52000, 56000, and 58000</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The first $25,000 of each contract in categories 53000, 54000, and 55000</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also eligible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expenditures in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category</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57000 or 60000</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eligible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3665135" w:rsidP="76F46756" w:rsidRDefault="43665135" w14:paraId="7542A17C" w14:textId="37F891C8">
      <w:pPr>
        <w:pStyle w:val="ListParagraph"/>
        <w:keepNext w:val="1"/>
        <w:keepLines w:val="1"/>
        <w:numPr>
          <w:ilvl w:val="0"/>
          <w:numId w:val="31"/>
        </w:numPr>
        <w:spacing w:after="160" w:afterAutospacing="off" w:line="276" w:lineRule="auto"/>
        <w:ind w:right="360"/>
        <w:rPr>
          <w:rFonts w:ascii="Calibri" w:hAnsi="Calibri" w:eastAsia="Calibri" w:cs="Calibri"/>
          <w:b w:val="1"/>
          <w:bCs w:val="1"/>
          <w:i w:val="0"/>
          <w:iCs w:val="0"/>
          <w:caps w:val="0"/>
          <w:smallCaps w:val="0"/>
          <w:noProof w:val="0"/>
          <w:color w:val="365F91"/>
          <w:sz w:val="24"/>
          <w:szCs w:val="24"/>
          <w:lang w:val="en-US"/>
        </w:rPr>
      </w:pP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Municipaliti</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es</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have a federally-negotiated indirect rate agreement</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6F46756" w:rsidR="684615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may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that rate – or a lower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rate, if</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prefer</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may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not us</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w:t>
      </w:r>
      <w:r w:rsidRPr="76F46756" w:rsidR="2228F025">
        <w:rPr>
          <w:rFonts w:ascii="Calibri" w:hAnsi="Calibri" w:eastAsia="Calibri" w:cs="Calibri"/>
          <w:b w:val="0"/>
          <w:bCs w:val="0"/>
          <w:i w:val="0"/>
          <w:iCs w:val="0"/>
          <w:caps w:val="0"/>
          <w:smallCaps w:val="0"/>
          <w:noProof w:val="0"/>
          <w:color w:val="000000" w:themeColor="text1" w:themeTint="FF" w:themeShade="FF"/>
          <w:sz w:val="22"/>
          <w:szCs w:val="22"/>
          <w:lang w:val="en-US"/>
        </w:rPr>
        <w:t>a</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6F46756" w:rsidR="43665135">
        <w:rPr>
          <w:rFonts w:ascii="Calibri" w:hAnsi="Calibri" w:eastAsia="Calibri" w:cs="Calibri"/>
          <w:b w:val="0"/>
          <w:bCs w:val="0"/>
          <w:i w:val="1"/>
          <w:iCs w:val="1"/>
          <w:caps w:val="0"/>
          <w:smallCaps w:val="0"/>
          <w:noProof w:val="0"/>
          <w:color w:val="000000" w:themeColor="text1" w:themeTint="FF" w:themeShade="FF"/>
          <w:sz w:val="22"/>
          <w:szCs w:val="22"/>
          <w:lang w:val="en-US"/>
        </w:rPr>
        <w:t>d</w:t>
      </w:r>
      <w:r w:rsidRPr="76F46756" w:rsidR="43665135">
        <w:rPr>
          <w:rFonts w:ascii="Calibri" w:hAnsi="Calibri" w:eastAsia="Calibri" w:cs="Calibri"/>
          <w:b w:val="0"/>
          <w:bCs w:val="0"/>
          <w:i w:val="1"/>
          <w:iCs w:val="1"/>
          <w:caps w:val="0"/>
          <w:smallCaps w:val="0"/>
          <w:noProof w:val="0"/>
          <w:color w:val="000000" w:themeColor="text1" w:themeTint="FF" w:themeShade="FF"/>
          <w:sz w:val="22"/>
          <w:szCs w:val="22"/>
          <w:lang w:val="en-US"/>
        </w:rPr>
        <w:t xml:space="preserve">e </w:t>
      </w:r>
      <w:r w:rsidRPr="76F46756" w:rsidR="43665135">
        <w:rPr>
          <w:rFonts w:ascii="Calibri" w:hAnsi="Calibri" w:eastAsia="Calibri" w:cs="Calibri"/>
          <w:b w:val="0"/>
          <w:bCs w:val="0"/>
          <w:i w:val="1"/>
          <w:iCs w:val="1"/>
          <w:caps w:val="0"/>
          <w:smallCaps w:val="0"/>
          <w:noProof w:val="0"/>
          <w:color w:val="000000" w:themeColor="text1" w:themeTint="FF" w:themeShade="FF"/>
          <w:sz w:val="22"/>
          <w:szCs w:val="22"/>
          <w:lang w:val="en-US"/>
        </w:rPr>
        <w:t>minim</w:t>
      </w:r>
      <w:r w:rsidRPr="76F46756" w:rsidR="43665135">
        <w:rPr>
          <w:rFonts w:ascii="Calibri" w:hAnsi="Calibri" w:eastAsia="Calibri" w:cs="Calibri"/>
          <w:b w:val="0"/>
          <w:bCs w:val="0"/>
          <w:i w:val="1"/>
          <w:iCs w:val="1"/>
          <w:caps w:val="0"/>
          <w:smallCaps w:val="0"/>
          <w:noProof w:val="0"/>
          <w:color w:val="000000" w:themeColor="text1" w:themeTint="FF" w:themeShade="FF"/>
          <w:sz w:val="22"/>
          <w:szCs w:val="22"/>
          <w:lang w:val="en-US"/>
        </w:rPr>
        <w:t>us</w:t>
      </w:r>
      <w:r w:rsidRPr="76F46756" w:rsidR="43665135">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rate</w:t>
      </w:r>
      <w:r w:rsidRPr="76F46756" w:rsidR="6263B18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this grant</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6F4675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6F46756" w:rsidR="6EA58D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RIDE must have a copy of your most recent indirect rate agreement on file </w:t>
      </w:r>
      <w:r w:rsidRPr="76F46756" w:rsidR="6EA58D72">
        <w:rPr>
          <w:rFonts w:ascii="Calibri" w:hAnsi="Calibri" w:eastAsia="Calibri" w:cs="Calibri"/>
          <w:b w:val="0"/>
          <w:bCs w:val="0"/>
          <w:i w:val="0"/>
          <w:iCs w:val="0"/>
          <w:caps w:val="0"/>
          <w:smallCaps w:val="0"/>
          <w:noProof w:val="0"/>
          <w:color w:val="000000" w:themeColor="text1" w:themeTint="FF" w:themeShade="FF"/>
          <w:sz w:val="22"/>
          <w:szCs w:val="22"/>
          <w:lang w:val="en-US"/>
        </w:rPr>
        <w:t>in order for</w:t>
      </w:r>
      <w:r w:rsidRPr="76F46756" w:rsidR="6EA58D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to use the indirect rate.</w:t>
      </w:r>
      <w:r w:rsidRPr="76F46756" w:rsidR="6EA58D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3665135" w:rsidP="76F46756" w:rsidRDefault="43665135" w14:paraId="2B75DC60" w14:textId="1995AAC1">
      <w:pPr>
        <w:pStyle w:val="Normal"/>
        <w:keepNext w:val="1"/>
        <w:keepLines w:val="1"/>
        <w:spacing w:after="160" w:afterAutospacing="off" w:line="276" w:lineRule="auto"/>
        <w:ind w:left="0" w:right="360"/>
        <w:rPr>
          <w:rFonts w:ascii="Calibri" w:hAnsi="Calibri" w:eastAsia="Calibri" w:cs="Calibri"/>
          <w:b w:val="1"/>
          <w:bCs w:val="1"/>
          <w:i w:val="0"/>
          <w:iCs w:val="0"/>
          <w:caps w:val="0"/>
          <w:smallCaps w:val="0"/>
          <w:noProof w:val="0"/>
          <w:color w:val="365F91"/>
          <w:sz w:val="24"/>
          <w:szCs w:val="24"/>
          <w:lang w:val="en-US"/>
        </w:rPr>
      </w:pPr>
      <w:r w:rsidRPr="76F46756" w:rsidR="43665135">
        <w:rPr>
          <w:rFonts w:ascii="Calibri" w:hAnsi="Calibri" w:eastAsia="Calibri" w:cs="Calibri"/>
          <w:b w:val="1"/>
          <w:bCs w:val="1"/>
          <w:i w:val="0"/>
          <w:iCs w:val="0"/>
          <w:caps w:val="0"/>
          <w:smallCaps w:val="0"/>
          <w:noProof w:val="0"/>
          <w:color w:val="365F91"/>
          <w:sz w:val="24"/>
          <w:szCs w:val="24"/>
          <w:lang w:val="en-US"/>
        </w:rPr>
        <w:t>Unallowable Expenses</w:t>
      </w:r>
    </w:p>
    <w:p w:rsidR="43665135" w:rsidP="7AD16F0B" w:rsidRDefault="43665135" w14:paraId="67AD1A9B" w14:textId="57091280">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185498CF">
        <w:rPr>
          <w:rFonts w:ascii="Calibri" w:hAnsi="Calibri" w:eastAsia="Calibri" w:cs="Calibri"/>
          <w:b w:val="0"/>
          <w:bCs w:val="0"/>
          <w:i w:val="0"/>
          <w:iCs w:val="0"/>
          <w:caps w:val="0"/>
          <w:smallCaps w:val="0"/>
          <w:noProof w:val="0"/>
          <w:color w:val="000000" w:themeColor="text1" w:themeTint="FF" w:themeShade="FF"/>
          <w:sz w:val="22"/>
          <w:szCs w:val="22"/>
          <w:lang w:val="en-US"/>
        </w:rPr>
        <w:t>SFRF</w:t>
      </w:r>
      <w:r w:rsidRPr="7AD16F0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subgrant funds may not be used for:</w:t>
      </w:r>
    </w:p>
    <w:p w:rsidR="43665135" w:rsidP="01F8482B" w:rsidRDefault="43665135" w14:paraId="2247AE3D" w14:textId="00BC1D6C">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eligious worship, instruction, or proselytization</w:t>
      </w:r>
    </w:p>
    <w:p w:rsidR="43665135" w:rsidP="01F8482B" w:rsidRDefault="43665135" w14:paraId="62D59A70" w14:textId="26664691">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Endowments</w:t>
      </w:r>
    </w:p>
    <w:p w:rsidR="43665135" w:rsidP="01F8482B" w:rsidRDefault="43665135" w14:paraId="046D900F" w14:textId="487C86F8">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Construction</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facility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purchase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repair</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3665135" w:rsidP="01F8482B" w:rsidRDefault="43665135" w14:paraId="45AAB220" w14:textId="5D4F2D39">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Materials or programs “designed to promo</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te or encourage sexual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activity</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3665135" w:rsidP="01F8482B" w:rsidRDefault="43665135" w14:paraId="56102FA5" w14:textId="19DDB16D">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Distribu</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ting legally obscene materials</w:t>
      </w:r>
    </w:p>
    <w:p w:rsidR="43665135" w:rsidP="01F8482B" w:rsidRDefault="43665135" w14:paraId="64686EA1" w14:textId="56920F04">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Sexuality- or HIV-education that is not age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appropriate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that does not include the health b</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enefits of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abstinence</w:t>
      </w:r>
    </w:p>
    <w:p w:rsidR="43665135" w:rsidP="01F8482B" w:rsidRDefault="43665135" w14:paraId="2AF483D8" w14:textId="0AD79DF6">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Distributing contraceptives</w:t>
      </w:r>
    </w:p>
    <w:p w:rsidR="43665135" w:rsidP="01F8482B" w:rsidRDefault="43665135" w14:paraId="0091B31A" w14:textId="15FE3C50">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Alcoholic beverages</w:t>
      </w:r>
    </w:p>
    <w:p w:rsidR="43665135" w:rsidP="01F8482B" w:rsidRDefault="43665135" w14:paraId="0272E77A" w14:textId="637834E0">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Lobbying</w:t>
      </w:r>
    </w:p>
    <w:p w:rsidR="43665135" w:rsidP="01F8482B" w:rsidRDefault="43665135" w14:paraId="3A92C5F6" w14:textId="4E6CA3D4">
      <w:pPr>
        <w:pStyle w:val="ListParagraph"/>
        <w:numPr>
          <w:ilvl w:val="0"/>
          <w:numId w:val="33"/>
        </w:num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AE44716"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Entertainment </w:t>
      </w:r>
    </w:p>
    <w:p w:rsidR="4AE44716" w:rsidP="4AE44716" w:rsidRDefault="4AE44716" w14:paraId="036726AA" w14:textId="4509AFF3">
      <w:pPr>
        <w:spacing w:after="0" w:line="276"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w:rsidR="260BF0F0" w:rsidP="4AE44716" w:rsidRDefault="260BF0F0" w14:paraId="004E30F0" w14:textId="68DE9287">
      <w:pPr>
        <w:spacing w:after="0" w:line="276" w:lineRule="auto"/>
        <w:rPr>
          <w:rFonts w:ascii="Calibri" w:hAnsi="Calibri" w:eastAsia="Calibri" w:cs="Calibri"/>
          <w:b w:val="1"/>
          <w:bCs w:val="1"/>
          <w:i w:val="0"/>
          <w:iCs w:val="0"/>
          <w:caps w:val="0"/>
          <w:smallCaps w:val="0"/>
          <w:noProof w:val="0"/>
          <w:color w:val="4472C4" w:themeColor="accent1" w:themeTint="FF" w:themeShade="FF"/>
          <w:sz w:val="22"/>
          <w:szCs w:val="22"/>
          <w:lang w:val="en-US"/>
        </w:rPr>
      </w:pPr>
      <w:r w:rsidRPr="4AE44716" w:rsidR="260BF0F0">
        <w:rPr>
          <w:rFonts w:ascii="Calibri" w:hAnsi="Calibri" w:eastAsia="Calibri" w:cs="Calibri"/>
          <w:b w:val="1"/>
          <w:bCs w:val="1"/>
          <w:i w:val="0"/>
          <w:iCs w:val="0"/>
          <w:caps w:val="0"/>
          <w:smallCaps w:val="0"/>
          <w:noProof w:val="0"/>
          <w:color w:val="4472C4" w:themeColor="accent1" w:themeTint="FF" w:themeShade="FF"/>
          <w:sz w:val="22"/>
          <w:szCs w:val="22"/>
          <w:lang w:val="en-US"/>
        </w:rPr>
        <w:t>Problematic Expenses</w:t>
      </w:r>
    </w:p>
    <w:p w:rsidR="43665135" w:rsidP="01F8482B" w:rsidRDefault="43665135" w14:paraId="40B113A4" w14:textId="1A6725A5">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1"/>
          <w:bCs w:val="1"/>
          <w:i w:val="0"/>
          <w:iCs w:val="0"/>
          <w:caps w:val="0"/>
          <w:smallCaps w:val="0"/>
          <w:noProof w:val="0"/>
          <w:color w:val="000000" w:themeColor="text1" w:themeTint="FF" w:themeShade="FF"/>
          <w:sz w:val="22"/>
          <w:szCs w:val="22"/>
          <w:lang w:val="en-US"/>
        </w:rPr>
        <w:t>Gift Cards:</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While not explicitly prohibited by federal regulations, gift cards are not allowable for this grant, due to the difficulties with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maintaining</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proper fiscal controls with their use. </w:t>
      </w:r>
    </w:p>
    <w:p w:rsidR="01F8482B" w:rsidP="01F8482B" w:rsidRDefault="01F8482B" w14:paraId="1BD3A02C" w14:textId="140BB6C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3665135" w:rsidP="01F8482B" w:rsidRDefault="43665135" w14:paraId="3548625D" w14:textId="2E4B6C6D">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1F8482B" w:rsidR="43665135">
        <w:rPr>
          <w:rFonts w:ascii="Calibri" w:hAnsi="Calibri" w:eastAsia="Calibri" w:cs="Calibri"/>
          <w:b w:val="1"/>
          <w:bCs w:val="1"/>
          <w:i w:val="0"/>
          <w:iCs w:val="0"/>
          <w:caps w:val="0"/>
          <w:smallCaps w:val="0"/>
          <w:noProof w:val="0"/>
          <w:color w:val="000000" w:themeColor="text1" w:themeTint="FF" w:themeShade="FF"/>
          <w:sz w:val="22"/>
          <w:szCs w:val="22"/>
          <w:lang w:val="en-US"/>
        </w:rPr>
        <w:t>Field trips:</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note that field trips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are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only allowable if they serve a clear educational/programmatic purpose.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Otherwise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are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considered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be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entertainment</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are thus unallowable</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J</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ustification should be provided in the budget narrative for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field trip</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planned.</w:t>
      </w:r>
      <w:r w:rsidRPr="01F8482B" w:rsidR="436651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is strongly recommended that you create a lesson plan for each field trip and keep a copy of it on file.</w:t>
      </w:r>
    </w:p>
    <w:p w:rsidR="08E5FD10" w:rsidP="7AD16F0B" w:rsidRDefault="08E5FD10" w14:paraId="300C03AC" w14:textId="5BFE4E0A">
      <w:pPr>
        <w:pStyle w:val="Normal"/>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7AD16F0B" w:rsidR="08E5FD10">
        <w:rPr>
          <w:rFonts w:ascii="Calibri" w:hAnsi="Calibri" w:eastAsia="Calibri" w:cs="Calibri"/>
          <w:b w:val="1"/>
          <w:bCs w:val="1"/>
          <w:i w:val="0"/>
          <w:iCs w:val="0"/>
          <w:caps w:val="0"/>
          <w:smallCaps w:val="0"/>
          <w:noProof w:val="0"/>
          <w:color w:val="000000" w:themeColor="text1" w:themeTint="FF" w:themeShade="FF"/>
          <w:sz w:val="22"/>
          <w:szCs w:val="22"/>
          <w:lang w:val="en-US"/>
        </w:rPr>
        <w:t>Food:</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Food is not allowable for non-programmatic activities (e.g.</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staff meetings, professional development events, etc.)</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may be allowable for activities for youth or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families, if</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it serves a programmatic purpose and is necessary for the success of the activity</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4C20EAAD">
        <w:rPr>
          <w:rFonts w:ascii="Calibri" w:hAnsi="Calibri" w:eastAsia="Calibri" w:cs="Calibri"/>
          <w:b w:val="0"/>
          <w:bCs w:val="0"/>
          <w:i w:val="0"/>
          <w:iCs w:val="0"/>
          <w:caps w:val="0"/>
          <w:smallCaps w:val="0"/>
          <w:noProof w:val="0"/>
          <w:color w:val="000000" w:themeColor="text1" w:themeTint="FF" w:themeShade="FF"/>
          <w:sz w:val="22"/>
          <w:szCs w:val="22"/>
          <w:lang w:val="en-US"/>
        </w:rPr>
        <w:t>G</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ra</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ntees are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expected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rely on the USDA snacks and meals programs </w:t>
      </w:r>
      <w:r w:rsidRPr="7AD16F0B" w:rsidR="7AD64588">
        <w:rPr>
          <w:rFonts w:ascii="Calibri" w:hAnsi="Calibri" w:eastAsia="Calibri" w:cs="Calibri"/>
          <w:b w:val="0"/>
          <w:bCs w:val="0"/>
          <w:i w:val="0"/>
          <w:iCs w:val="0"/>
          <w:caps w:val="0"/>
          <w:smallCaps w:val="0"/>
          <w:noProof w:val="0"/>
          <w:color w:val="000000" w:themeColor="text1" w:themeTint="FF" w:themeShade="FF"/>
          <w:sz w:val="22"/>
          <w:szCs w:val="22"/>
          <w:lang w:val="en-US"/>
        </w:rPr>
        <w:t>if</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possible</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food</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requesting</w:t>
      </w:r>
      <w:r w:rsidRPr="7AD16F0B" w:rsidR="158FDA9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funds for food, please include a justification for it in the Budget Narrative and explain why the need cannot be covered by the USDA snacks or meals programs.</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nack</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purchas</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d</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students outside of the USDA snack/meal programs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should be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healthy option</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in accordance wi</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t>
      </w:r>
      <w:hyperlink r:id="Rc73c6373d30842a0">
        <w:r w:rsidRPr="7AD16F0B" w:rsidR="08E5FD10">
          <w:rPr>
            <w:rStyle w:val="Hyperlink"/>
            <w:rFonts w:ascii="Calibri" w:hAnsi="Calibri" w:eastAsia="Calibri" w:cs="Calibri"/>
            <w:b w:val="0"/>
            <w:bCs w:val="0"/>
            <w:i w:val="1"/>
            <w:iCs w:val="1"/>
            <w:caps w:val="0"/>
            <w:smallCaps w:val="0"/>
            <w:strike w:val="0"/>
            <w:dstrike w:val="0"/>
            <w:noProof w:val="0"/>
            <w:sz w:val="22"/>
            <w:szCs w:val="22"/>
            <w:lang w:val="en-US"/>
          </w:rPr>
          <w:t>National Afterschool Association Health Eating and Physical Activity Standards</w:t>
        </w:r>
      </w:hyperlink>
      <w:r w:rsidRPr="7AD16F0B" w:rsidR="08E5FD10">
        <w:rPr>
          <w:rFonts w:ascii="Calibri" w:hAnsi="Calibri" w:eastAsia="Calibri" w:cs="Calibri"/>
          <w:b w:val="0"/>
          <w:bCs w:val="0"/>
          <w:i w:val="1"/>
          <w:iCs w:val="1"/>
          <w:caps w:val="0"/>
          <w:smallCaps w:val="0"/>
          <w:noProof w:val="0"/>
          <w:color w:val="000000" w:themeColor="text1" w:themeTint="FF" w:themeShade="FF"/>
          <w:sz w:val="22"/>
          <w:szCs w:val="22"/>
          <w:lang w:val="en-US"/>
        </w:rPr>
        <w:t>.</w:t>
      </w:r>
      <w:r w:rsidRPr="7AD16F0B" w:rsidR="08E5FD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E360C4D" w:rsidP="7AD16F0B" w:rsidRDefault="5E360C4D" w14:paraId="1E0ADB82" w14:textId="7A03BAA3">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5E360C4D">
        <w:rPr>
          <w:rFonts w:ascii="Calibri" w:hAnsi="Calibri" w:eastAsia="Calibri" w:cs="Calibri"/>
          <w:b w:val="1"/>
          <w:bCs w:val="1"/>
          <w:i w:val="0"/>
          <w:iCs w:val="0"/>
          <w:caps w:val="0"/>
          <w:smallCaps w:val="0"/>
          <w:noProof w:val="0"/>
          <w:color w:val="000000" w:themeColor="text1" w:themeTint="FF" w:themeShade="FF"/>
          <w:sz w:val="22"/>
          <w:szCs w:val="22"/>
          <w:lang w:val="en-US"/>
        </w:rPr>
        <w:t>Potential “dangerous weapons”:</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Federal legislation changed in October 2023, specifically allowing the use of funds for activities like cooking/culinary, archery, hunting safety, and gun safety programs, including ones that are part of many JROTC programs.</w:t>
      </w:r>
    </w:p>
    <w:p w:rsidR="7AD16F0B" w:rsidP="7AD16F0B" w:rsidRDefault="7AD16F0B" w14:paraId="0F85D4A8" w14:textId="3FAAE74A">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360C4D" w:rsidP="7AD16F0B" w:rsidRDefault="5E360C4D" w14:paraId="39A7AA1F" w14:textId="3A66E8D3">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5E360C4D">
        <w:rPr>
          <w:rFonts w:ascii="Calibri" w:hAnsi="Calibri" w:eastAsia="Calibri" w:cs="Calibri"/>
          <w:b w:val="1"/>
          <w:bCs w:val="1"/>
          <w:i w:val="0"/>
          <w:iCs w:val="0"/>
          <w:caps w:val="0"/>
          <w:smallCaps w:val="0"/>
          <w:noProof w:val="0"/>
          <w:color w:val="000000" w:themeColor="text1" w:themeTint="FF" w:themeShade="FF"/>
          <w:sz w:val="22"/>
          <w:szCs w:val="22"/>
          <w:lang w:val="en-US"/>
        </w:rPr>
        <w:t>Clothing:</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T-shirts and other clothing are generally not an allowable expense with this grant. The one exception is that they may be allowable if they serve an explicit safety purpose (e.g., identifying program participants on a field trip). Purchasing clothing for branding or as promotional materials is not allowed.</w:t>
      </w:r>
    </w:p>
    <w:p w:rsidR="7AD16F0B" w:rsidP="7AD16F0B" w:rsidRDefault="7AD16F0B" w14:paraId="0F562760" w14:textId="33575FF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360C4D" w:rsidP="7AD16F0B" w:rsidRDefault="5E360C4D" w14:paraId="4F8E0452" w14:textId="611C5E5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5E360C4D">
        <w:rPr>
          <w:rFonts w:ascii="Calibri" w:hAnsi="Calibri" w:eastAsia="Calibri" w:cs="Calibri"/>
          <w:b w:val="1"/>
          <w:bCs w:val="1"/>
          <w:i w:val="0"/>
          <w:iCs w:val="0"/>
          <w:caps w:val="0"/>
          <w:smallCaps w:val="0"/>
          <w:noProof w:val="0"/>
          <w:color w:val="000000" w:themeColor="text1" w:themeTint="FF" w:themeShade="FF"/>
          <w:sz w:val="22"/>
          <w:szCs w:val="22"/>
          <w:lang w:val="en-US"/>
        </w:rPr>
        <w:t>Incentives:</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Incentives for program participation are allowable, but they must be nominal in value. Cash, stipends, and gift cards are not allowable incentives.</w:t>
      </w:r>
    </w:p>
    <w:p w:rsidR="7AD16F0B" w:rsidP="7AD16F0B" w:rsidRDefault="7AD16F0B" w14:paraId="37D10879" w14:textId="392896BA">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360C4D" w:rsidP="7AD16F0B" w:rsidRDefault="5E360C4D" w14:paraId="4A8B4058" w14:textId="7F4AD484">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5E360C4D">
        <w:rPr>
          <w:rFonts w:ascii="Calibri" w:hAnsi="Calibri" w:eastAsia="Calibri" w:cs="Calibri"/>
          <w:b w:val="1"/>
          <w:bCs w:val="1"/>
          <w:i w:val="0"/>
          <w:iCs w:val="0"/>
          <w:caps w:val="0"/>
          <w:smallCaps w:val="0"/>
          <w:noProof w:val="0"/>
          <w:color w:val="000000" w:themeColor="text1" w:themeTint="FF" w:themeShade="FF"/>
          <w:sz w:val="22"/>
          <w:szCs w:val="22"/>
          <w:lang w:val="en-US"/>
        </w:rPr>
        <w:t>Student stipends:</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These are an allowable expense, but simply providing a stipend for attending the program is </w:t>
      </w:r>
      <w:r w:rsidRPr="7AD16F0B" w:rsidR="5E360C4D">
        <w:rPr>
          <w:rFonts w:ascii="Calibri" w:hAnsi="Calibri" w:eastAsia="Calibri" w:cs="Calibri"/>
          <w:b w:val="0"/>
          <w:bCs w:val="0"/>
          <w:i w:val="1"/>
          <w:iCs w:val="1"/>
          <w:caps w:val="0"/>
          <w:smallCaps w:val="0"/>
          <w:strike w:val="0"/>
          <w:dstrike w:val="0"/>
          <w:noProof w:val="0"/>
          <w:color w:val="000000" w:themeColor="text1" w:themeTint="FF" w:themeShade="FF"/>
          <w:sz w:val="22"/>
          <w:szCs w:val="22"/>
          <w:u w:val="single"/>
          <w:lang w:val="en-US"/>
        </w:rPr>
        <w:t>not</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allowable. Students must produce some kind of deliverable or provide a service for stipends to be allowable, which should be outlined in the budget narrative. There must be some tangible benefit to others or to the program. </w:t>
      </w:r>
    </w:p>
    <w:p w:rsidR="7AD16F0B" w:rsidP="7AD16F0B" w:rsidRDefault="7AD16F0B" w14:paraId="783C6288" w14:textId="341E59B0">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E360C4D" w:rsidP="7AD16F0B" w:rsidRDefault="5E360C4D" w14:paraId="22E79D30" w14:textId="0DECCC4C">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AD16F0B" w:rsidR="5E360C4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Scholarships/memberships: </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Providing students with scholarships for college or to cover costs or fees for other programs that are not directly part of the 21</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st</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CCLC offerings is </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generally not</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allowable. However, funds may be used to cover costs for memberships or fees for programs that are necessary for students to participate in</w:t>
      </w:r>
      <w:r w:rsidRPr="7AD16F0B" w:rsidR="24F6899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program</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offering.</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In fact, such fees should be covered or waived in order to eliminate any potential financial barriers to full participation in the grant and its offerings.</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those cases, however, funds should go directly to the organization charging them and should not be provided directly to students or families</w:t>
      </w:r>
      <w:r w:rsidRPr="7AD16F0B" w:rsidR="5E360C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7AD16F0B" w:rsidP="7AD16F0B" w:rsidRDefault="7AD16F0B" w14:paraId="7F5722A7" w14:textId="67612990">
      <w:pPr>
        <w:pStyle w:val="Normal"/>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2">
    <w:nsid w:val="5a3b0b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0326f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92882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f6498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fcc14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2dfa0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e040b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f7d24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b73b8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3e08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71d3d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440d0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496d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39ad8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371de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be87b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cd099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a5d29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931a3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5b50f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0af8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ac5c9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f151f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f05b58f"/>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2c530ba"/>
    <w:multiLevelType xmlns:w="http://schemas.openxmlformats.org/wordprocessingml/2006/main" w:val="hybridMultilevel"/>
    <w:lvl xmlns:w="http://schemas.openxmlformats.org/wordprocessingml/2006/main" w:ilvl="0">
      <w:start w:val="1"/>
      <w:numFmt w:val="bullet"/>
      <w:lvlText w:val="o"/>
      <w:lvlJc w:val="left"/>
      <w:pPr>
        <w:ind w:left="25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f62a7a"/>
    <w:multiLevelType xmlns:w="http://schemas.openxmlformats.org/wordprocessingml/2006/main" w:val="hybridMultilevel"/>
    <w:lvl xmlns:w="http://schemas.openxmlformats.org/wordprocessingml/2006/main" w:ilvl="0">
      <w:start w:val="1"/>
      <w:numFmt w:val="bullet"/>
      <w:lvlText w:val="o"/>
      <w:lvlJc w:val="left"/>
      <w:pPr>
        <w:ind w:left="25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0dae966"/>
    <w:multiLevelType xmlns:w="http://schemas.openxmlformats.org/wordprocessingml/2006/main" w:val="hybridMultilevel"/>
    <w:lvl xmlns:w="http://schemas.openxmlformats.org/wordprocessingml/2006/main" w:ilvl="0">
      <w:start w:val="1"/>
      <w:numFmt w:val="bullet"/>
      <w:lvlText w:val="o"/>
      <w:lvlJc w:val="left"/>
      <w:pPr>
        <w:ind w:left="25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ff69e4c"/>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efa3e5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d291783"/>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c4551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c74d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5dfa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c19138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1274d5b"/>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bd25b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a4b4d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0af3f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707bc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5b2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89d00f6"/>
    <w:multiLevelType xmlns:w="http://schemas.openxmlformats.org/wordprocessingml/2006/main" w:val="hybridMultilevel"/>
    <w:lvl xmlns:w="http://schemas.openxmlformats.org/wordprocessingml/2006/main" w:ilvl="0">
      <w:start w:val="1"/>
      <w:numFmt w:val="bullet"/>
      <w:lvlText w:val=""/>
      <w:lvlJc w:val="left"/>
      <w:pPr>
        <w:ind w:left="7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783bc3"/>
    <w:multiLevelType xmlns:w="http://schemas.openxmlformats.org/wordprocessingml/2006/main" w:val="hybridMultilevel"/>
    <w:lvl xmlns:w="http://schemas.openxmlformats.org/wordprocessingml/2006/main" w:ilvl="0">
      <w:start w:val="1"/>
      <w:numFmt w:val="bullet"/>
      <w:lvlText w:val=""/>
      <w:lvlJc w:val="left"/>
      <w:pPr>
        <w:ind w:left="7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3B4ED5"/>
    <w:rsid w:val="00BB713A"/>
    <w:rsid w:val="011A5FF9"/>
    <w:rsid w:val="012D41D4"/>
    <w:rsid w:val="0156811D"/>
    <w:rsid w:val="01F8482B"/>
    <w:rsid w:val="043D39E2"/>
    <w:rsid w:val="05244AB5"/>
    <w:rsid w:val="063B4ED5"/>
    <w:rsid w:val="0722079E"/>
    <w:rsid w:val="07B8FFE4"/>
    <w:rsid w:val="08076322"/>
    <w:rsid w:val="08D82E08"/>
    <w:rsid w:val="08E5FD10"/>
    <w:rsid w:val="09B612CF"/>
    <w:rsid w:val="09C1BF25"/>
    <w:rsid w:val="0A2F1709"/>
    <w:rsid w:val="0AA3D046"/>
    <w:rsid w:val="0ABD98BF"/>
    <w:rsid w:val="0AE913F2"/>
    <w:rsid w:val="0B33B235"/>
    <w:rsid w:val="0BFFE40B"/>
    <w:rsid w:val="0BFFE40B"/>
    <w:rsid w:val="0C57DF0B"/>
    <w:rsid w:val="0CB638D3"/>
    <w:rsid w:val="0D7C057C"/>
    <w:rsid w:val="0E21B3B6"/>
    <w:rsid w:val="0F5B83E7"/>
    <w:rsid w:val="108A18A8"/>
    <w:rsid w:val="10F75448"/>
    <w:rsid w:val="111B8D5B"/>
    <w:rsid w:val="11244F91"/>
    <w:rsid w:val="115B4BAE"/>
    <w:rsid w:val="119A282B"/>
    <w:rsid w:val="12314446"/>
    <w:rsid w:val="13270417"/>
    <w:rsid w:val="14311C07"/>
    <w:rsid w:val="146AB83B"/>
    <w:rsid w:val="14B9F5A5"/>
    <w:rsid w:val="14D4B058"/>
    <w:rsid w:val="158FDA9D"/>
    <w:rsid w:val="17552EEA"/>
    <w:rsid w:val="185498CF"/>
    <w:rsid w:val="192B1997"/>
    <w:rsid w:val="19796766"/>
    <w:rsid w:val="1ABC9DB2"/>
    <w:rsid w:val="1B184A5B"/>
    <w:rsid w:val="1B3DDA87"/>
    <w:rsid w:val="1B9D9AB6"/>
    <w:rsid w:val="1BE571E0"/>
    <w:rsid w:val="1E47AF8E"/>
    <w:rsid w:val="1E92C4BF"/>
    <w:rsid w:val="1EA6200D"/>
    <w:rsid w:val="1F982488"/>
    <w:rsid w:val="1FB4C287"/>
    <w:rsid w:val="202B9686"/>
    <w:rsid w:val="2059BF1C"/>
    <w:rsid w:val="22013B05"/>
    <w:rsid w:val="2228F025"/>
    <w:rsid w:val="22B72695"/>
    <w:rsid w:val="2440376E"/>
    <w:rsid w:val="24409BEB"/>
    <w:rsid w:val="246FCC39"/>
    <w:rsid w:val="2481D259"/>
    <w:rsid w:val="24952D46"/>
    <w:rsid w:val="24F6899A"/>
    <w:rsid w:val="25DC07CF"/>
    <w:rsid w:val="260BF0F0"/>
    <w:rsid w:val="26AF4B4D"/>
    <w:rsid w:val="26D8BCFA"/>
    <w:rsid w:val="28D077E0"/>
    <w:rsid w:val="2968504E"/>
    <w:rsid w:val="29865966"/>
    <w:rsid w:val="2A14FC71"/>
    <w:rsid w:val="2AAF78F2"/>
    <w:rsid w:val="2AD252AE"/>
    <w:rsid w:val="2C3BC472"/>
    <w:rsid w:val="2C4959A8"/>
    <w:rsid w:val="2C728754"/>
    <w:rsid w:val="2DAA5A6B"/>
    <w:rsid w:val="2F55F526"/>
    <w:rsid w:val="305006EE"/>
    <w:rsid w:val="3062E076"/>
    <w:rsid w:val="30F1C587"/>
    <w:rsid w:val="31AD6945"/>
    <w:rsid w:val="31C10EFB"/>
    <w:rsid w:val="35FA191F"/>
    <w:rsid w:val="3604394C"/>
    <w:rsid w:val="3604394C"/>
    <w:rsid w:val="393BDA0E"/>
    <w:rsid w:val="394F5A0A"/>
    <w:rsid w:val="3C9CEC7D"/>
    <w:rsid w:val="3D1252EC"/>
    <w:rsid w:val="3D19834A"/>
    <w:rsid w:val="3D8F7C52"/>
    <w:rsid w:val="3E38BCDE"/>
    <w:rsid w:val="3FF0CA36"/>
    <w:rsid w:val="400E5349"/>
    <w:rsid w:val="40C062AC"/>
    <w:rsid w:val="415421DE"/>
    <w:rsid w:val="41705DA0"/>
    <w:rsid w:val="430C2E01"/>
    <w:rsid w:val="430C2E01"/>
    <w:rsid w:val="43665135"/>
    <w:rsid w:val="43B81823"/>
    <w:rsid w:val="44A7FE62"/>
    <w:rsid w:val="45A9CA66"/>
    <w:rsid w:val="45A9CA66"/>
    <w:rsid w:val="463ADC8B"/>
    <w:rsid w:val="4768E636"/>
    <w:rsid w:val="47B42076"/>
    <w:rsid w:val="47BE1AFD"/>
    <w:rsid w:val="480D8D3E"/>
    <w:rsid w:val="4959EB5E"/>
    <w:rsid w:val="4A9931E5"/>
    <w:rsid w:val="4AC89604"/>
    <w:rsid w:val="4AE44716"/>
    <w:rsid w:val="4B741A84"/>
    <w:rsid w:val="4BFEEB14"/>
    <w:rsid w:val="4C20EAAD"/>
    <w:rsid w:val="4F0F11C1"/>
    <w:rsid w:val="5091B9C5"/>
    <w:rsid w:val="528D387D"/>
    <w:rsid w:val="52AC5E3F"/>
    <w:rsid w:val="52BDA99B"/>
    <w:rsid w:val="53E15C87"/>
    <w:rsid w:val="53E15C87"/>
    <w:rsid w:val="53F7DEDD"/>
    <w:rsid w:val="55250BD1"/>
    <w:rsid w:val="55652AE8"/>
    <w:rsid w:val="56370828"/>
    <w:rsid w:val="58D7C7A9"/>
    <w:rsid w:val="59FCE771"/>
    <w:rsid w:val="5AA94FD6"/>
    <w:rsid w:val="5B25970F"/>
    <w:rsid w:val="5CE7B4D2"/>
    <w:rsid w:val="5E207BAD"/>
    <w:rsid w:val="5E360C4D"/>
    <w:rsid w:val="5E4F8712"/>
    <w:rsid w:val="5EB1F060"/>
    <w:rsid w:val="6263B181"/>
    <w:rsid w:val="62773FCA"/>
    <w:rsid w:val="62773FCA"/>
    <w:rsid w:val="63C4CF0F"/>
    <w:rsid w:val="64441C37"/>
    <w:rsid w:val="64A5D1F0"/>
    <w:rsid w:val="64D34144"/>
    <w:rsid w:val="650B9A59"/>
    <w:rsid w:val="658D5C65"/>
    <w:rsid w:val="66E3DCB2"/>
    <w:rsid w:val="674AB0ED"/>
    <w:rsid w:val="684615C3"/>
    <w:rsid w:val="68EE6ED4"/>
    <w:rsid w:val="6A2B6573"/>
    <w:rsid w:val="6A382DB9"/>
    <w:rsid w:val="6A4E0D3E"/>
    <w:rsid w:val="6C420ED2"/>
    <w:rsid w:val="6CD361F6"/>
    <w:rsid w:val="6EA58D72"/>
    <w:rsid w:val="6F040898"/>
    <w:rsid w:val="6F343EAB"/>
    <w:rsid w:val="71E9DFF5"/>
    <w:rsid w:val="727C28BD"/>
    <w:rsid w:val="72A3CD88"/>
    <w:rsid w:val="73A1C434"/>
    <w:rsid w:val="7431217B"/>
    <w:rsid w:val="758A57D2"/>
    <w:rsid w:val="758A57D2"/>
    <w:rsid w:val="76DD588D"/>
    <w:rsid w:val="76F46756"/>
    <w:rsid w:val="77262833"/>
    <w:rsid w:val="7799CE49"/>
    <w:rsid w:val="784CFD08"/>
    <w:rsid w:val="7904929E"/>
    <w:rsid w:val="7986FD68"/>
    <w:rsid w:val="79CFEA9B"/>
    <w:rsid w:val="7AA062FF"/>
    <w:rsid w:val="7AD16F0B"/>
    <w:rsid w:val="7AD6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4ED5"/>
  <w15:chartTrackingRefBased/>
  <w15:docId w15:val="{E07E0B30-37A1-4CA7-8720-B355D33D78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685a2a731504f84" /><Relationship Type="http://schemas.openxmlformats.org/officeDocument/2006/relationships/hyperlink" Target="https://www2.ed.gov/policy/fund/reg/edgarReg/edgar.html" TargetMode="External" Id="R16d36d6f99ee47ec" /><Relationship Type="http://schemas.openxmlformats.org/officeDocument/2006/relationships/hyperlink" Target="https://www.ecfr.gov/cgi-bin/text-idx?SID=dad45ad671686053a76c7c23296b4761&amp;mc=true&amp;tpl=/ecfrbrowse/Title34/34cfr76_main_02.tpl" TargetMode="External" Id="R021fec79273e4a30" /><Relationship Type="http://schemas.openxmlformats.org/officeDocument/2006/relationships/hyperlink" Target="https://www2.ed.gov/policy/fund/reg/edgarReg/edgar.html" TargetMode="External" Id="R7349fdf554b64045" /><Relationship Type="http://schemas.openxmlformats.org/officeDocument/2006/relationships/hyperlink" Target="https://www.ecfr.gov/cgi-bin/text-idx?SID=a3a33f2ac61d52352d011f60ff86ce8f&amp;mc=true&amp;tpl=/ecfrbrowse/Title02/2cfrv1_02.tpl" TargetMode="External" Id="Rb8e24181f4244af4" /><Relationship Type="http://schemas.openxmlformats.org/officeDocument/2006/relationships/hyperlink" Target="https://naaweb.org/all-documents/37-hepa-standards-2-0/file" TargetMode="External" Id="Rc73c6373d30842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2023-08-01T15:44:22.0735456Z</dcterms:created>
  <dcterms:modified xsi:type="dcterms:W3CDTF">2024-03-19T17:21:57.3452167Z</dcterms:modified>
  <dc:creator>Ustach, Emily</dc:creator>
  <lastModifiedBy>Ustach, Emily</lastModifiedBy>
</coreProperties>
</file>