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80C6" w14:textId="12539BFE" w:rsidR="009047F0" w:rsidRDefault="7B3AB4BB" w:rsidP="47862355">
      <w:pPr>
        <w:jc w:val="center"/>
        <w:rPr>
          <w:b/>
          <w:bCs/>
          <w:sz w:val="28"/>
          <w:szCs w:val="28"/>
        </w:rPr>
      </w:pPr>
      <w:r w:rsidRPr="31D33D1B">
        <w:rPr>
          <w:b/>
          <w:bCs/>
          <w:sz w:val="28"/>
          <w:szCs w:val="28"/>
        </w:rPr>
        <w:t>M</w:t>
      </w:r>
      <w:r w:rsidR="00190900">
        <w:rPr>
          <w:b/>
          <w:bCs/>
          <w:sz w:val="28"/>
          <w:szCs w:val="28"/>
        </w:rPr>
        <w:t>ultilingual Learner (MLL)</w:t>
      </w:r>
      <w:r w:rsidR="47862355" w:rsidRPr="31D33D1B">
        <w:rPr>
          <w:b/>
          <w:bCs/>
          <w:sz w:val="28"/>
          <w:szCs w:val="28"/>
        </w:rPr>
        <w:t xml:space="preserve"> Non-Negotiables for ELA Curriculum Selection</w:t>
      </w:r>
    </w:p>
    <w:p w14:paraId="7437323C" w14:textId="77777777" w:rsidR="009047F0" w:rsidRPr="00FA572F" w:rsidRDefault="009047F0" w:rsidP="009047F0">
      <w:pPr>
        <w:spacing w:after="0"/>
        <w:rPr>
          <w:sz w:val="20"/>
          <w:szCs w:val="20"/>
        </w:rPr>
      </w:pPr>
      <w:r w:rsidRPr="00FA572F">
        <w:rPr>
          <w:sz w:val="20"/>
          <w:szCs w:val="20"/>
        </w:rPr>
        <w:t xml:space="preserve">Purpose: To seek materials that: </w:t>
      </w:r>
    </w:p>
    <w:p w14:paraId="2C078E63" w14:textId="00FB8867" w:rsidR="00FF0B61" w:rsidRPr="00FA572F" w:rsidRDefault="47862355" w:rsidP="47862355">
      <w:pPr>
        <w:pStyle w:val="ListParagraph"/>
        <w:numPr>
          <w:ilvl w:val="0"/>
          <w:numId w:val="1"/>
        </w:numPr>
        <w:spacing w:after="0"/>
        <w:rPr>
          <w:sz w:val="20"/>
          <w:szCs w:val="20"/>
        </w:rPr>
      </w:pPr>
      <w:r w:rsidRPr="31D33D1B">
        <w:rPr>
          <w:sz w:val="20"/>
          <w:szCs w:val="20"/>
        </w:rPr>
        <w:t xml:space="preserve">Provide </w:t>
      </w:r>
      <w:r w:rsidR="2AB41696" w:rsidRPr="31D33D1B">
        <w:rPr>
          <w:sz w:val="20"/>
          <w:szCs w:val="20"/>
        </w:rPr>
        <w:t>M</w:t>
      </w:r>
      <w:r w:rsidRPr="31D33D1B">
        <w:rPr>
          <w:sz w:val="20"/>
          <w:szCs w:val="20"/>
        </w:rPr>
        <w:t xml:space="preserve">LLs with the necessary rigor in language development </w:t>
      </w:r>
    </w:p>
    <w:p w14:paraId="05F71E2C" w14:textId="31F48B09" w:rsidR="009047F0" w:rsidRPr="00FA572F" w:rsidRDefault="009047F0" w:rsidP="009047F0">
      <w:pPr>
        <w:pStyle w:val="ListParagraph"/>
        <w:numPr>
          <w:ilvl w:val="0"/>
          <w:numId w:val="1"/>
        </w:numPr>
        <w:spacing w:after="0"/>
        <w:rPr>
          <w:sz w:val="20"/>
          <w:szCs w:val="20"/>
        </w:rPr>
      </w:pPr>
      <w:r w:rsidRPr="31D33D1B">
        <w:rPr>
          <w:sz w:val="20"/>
          <w:szCs w:val="20"/>
        </w:rPr>
        <w:t xml:space="preserve">Provide </w:t>
      </w:r>
      <w:r w:rsidR="06B7EC0E" w:rsidRPr="31D33D1B">
        <w:rPr>
          <w:sz w:val="20"/>
          <w:szCs w:val="20"/>
        </w:rPr>
        <w:t>M</w:t>
      </w:r>
      <w:r w:rsidRPr="31D33D1B">
        <w:rPr>
          <w:sz w:val="20"/>
          <w:szCs w:val="20"/>
        </w:rPr>
        <w:t xml:space="preserve">LLs with full access to grade-level instructional content </w:t>
      </w:r>
    </w:p>
    <w:p w14:paraId="76483F0B" w14:textId="7DE340F5" w:rsidR="009047F0" w:rsidRPr="00FA572F" w:rsidRDefault="009047F0" w:rsidP="009047F0">
      <w:pPr>
        <w:pStyle w:val="ListParagraph"/>
        <w:numPr>
          <w:ilvl w:val="0"/>
          <w:numId w:val="1"/>
        </w:numPr>
        <w:spacing w:after="0"/>
        <w:rPr>
          <w:sz w:val="20"/>
          <w:szCs w:val="20"/>
        </w:rPr>
      </w:pPr>
      <w:r w:rsidRPr="31D33D1B">
        <w:rPr>
          <w:sz w:val="20"/>
          <w:szCs w:val="20"/>
        </w:rPr>
        <w:t xml:space="preserve">Integrate scaffolding for </w:t>
      </w:r>
      <w:r w:rsidR="3675B8AB" w:rsidRPr="31D33D1B">
        <w:rPr>
          <w:sz w:val="20"/>
          <w:szCs w:val="20"/>
        </w:rPr>
        <w:t>M</w:t>
      </w:r>
      <w:r w:rsidRPr="31D33D1B">
        <w:rPr>
          <w:sz w:val="20"/>
          <w:szCs w:val="20"/>
        </w:rPr>
        <w:t>LLs without compromising rigor or content</w:t>
      </w:r>
    </w:p>
    <w:p w14:paraId="07DC2A45" w14:textId="2EB8C6F0" w:rsidR="00BE0EB2" w:rsidRDefault="009047F0" w:rsidP="00BE0EB2">
      <w:pPr>
        <w:pStyle w:val="ListParagraph"/>
        <w:numPr>
          <w:ilvl w:val="0"/>
          <w:numId w:val="1"/>
        </w:numPr>
        <w:spacing w:after="0"/>
        <w:rPr>
          <w:sz w:val="20"/>
          <w:szCs w:val="20"/>
        </w:rPr>
      </w:pPr>
      <w:r w:rsidRPr="31D33D1B">
        <w:rPr>
          <w:sz w:val="20"/>
          <w:szCs w:val="20"/>
        </w:rPr>
        <w:t xml:space="preserve">Provide </w:t>
      </w:r>
      <w:r w:rsidR="5C2DF6FB" w:rsidRPr="31D33D1B">
        <w:rPr>
          <w:sz w:val="20"/>
          <w:szCs w:val="20"/>
        </w:rPr>
        <w:t>M</w:t>
      </w:r>
      <w:r w:rsidRPr="31D33D1B">
        <w:rPr>
          <w:sz w:val="20"/>
          <w:szCs w:val="20"/>
        </w:rPr>
        <w:t>LLs access to text that increases in complexity, with int</w:t>
      </w:r>
      <w:r w:rsidR="00596BF8" w:rsidRPr="31D33D1B">
        <w:rPr>
          <w:sz w:val="20"/>
          <w:szCs w:val="20"/>
        </w:rPr>
        <w:t>entional connections between ELD</w:t>
      </w:r>
      <w:r w:rsidRPr="31D33D1B">
        <w:rPr>
          <w:sz w:val="20"/>
          <w:szCs w:val="20"/>
        </w:rPr>
        <w:t xml:space="preserve"> and ELA instruction, all anchored in the CCSS</w:t>
      </w:r>
    </w:p>
    <w:p w14:paraId="5DA045B2" w14:textId="3F49A8C4" w:rsidR="009047F0" w:rsidRPr="00BE0EB2" w:rsidRDefault="00D77A2A" w:rsidP="00BE0EB2">
      <w:pPr>
        <w:pStyle w:val="ListParagraph"/>
        <w:spacing w:after="0"/>
        <w:rPr>
          <w:sz w:val="20"/>
          <w:szCs w:val="20"/>
        </w:rPr>
      </w:pPr>
      <w:r w:rsidRPr="00BE0EB2">
        <w:rPr>
          <w:sz w:val="20"/>
          <w:szCs w:val="20"/>
        </w:rPr>
        <w:t xml:space="preserve"> </w:t>
      </w:r>
    </w:p>
    <w:tbl>
      <w:tblPr>
        <w:tblStyle w:val="TableGrid"/>
        <w:tblW w:w="15120" w:type="dxa"/>
        <w:tblInd w:w="-95" w:type="dxa"/>
        <w:tblLook w:val="04A0" w:firstRow="1" w:lastRow="0" w:firstColumn="1" w:lastColumn="0" w:noHBand="0" w:noVBand="1"/>
      </w:tblPr>
      <w:tblGrid>
        <w:gridCol w:w="1642"/>
        <w:gridCol w:w="7279"/>
        <w:gridCol w:w="3144"/>
        <w:gridCol w:w="3055"/>
      </w:tblGrid>
      <w:tr w:rsidR="00E86CEB" w14:paraId="4F7FB832" w14:textId="77777777" w:rsidTr="008123D2">
        <w:tc>
          <w:tcPr>
            <w:tcW w:w="1619" w:type="dxa"/>
            <w:shd w:val="clear" w:color="auto" w:fill="D0CECE" w:themeFill="background2" w:themeFillShade="E6"/>
          </w:tcPr>
          <w:p w14:paraId="4493C532" w14:textId="165D0C0C" w:rsidR="00E86CEB" w:rsidRPr="00FA572F" w:rsidRDefault="00E86CEB" w:rsidP="009047F0">
            <w:pPr>
              <w:rPr>
                <w:b/>
                <w:sz w:val="20"/>
                <w:szCs w:val="20"/>
              </w:rPr>
            </w:pPr>
            <w:r>
              <w:rPr>
                <w:b/>
                <w:sz w:val="20"/>
                <w:szCs w:val="20"/>
              </w:rPr>
              <w:t>Area of Focus</w:t>
            </w:r>
          </w:p>
        </w:tc>
        <w:tc>
          <w:tcPr>
            <w:tcW w:w="7291" w:type="dxa"/>
            <w:shd w:val="clear" w:color="auto" w:fill="D0CECE" w:themeFill="background2" w:themeFillShade="E6"/>
          </w:tcPr>
          <w:p w14:paraId="7400F7C3" w14:textId="240D6EE9" w:rsidR="00E86CEB" w:rsidRPr="00FA572F" w:rsidRDefault="0B0051FC" w:rsidP="31D33D1B">
            <w:pPr>
              <w:rPr>
                <w:b/>
                <w:bCs/>
                <w:sz w:val="20"/>
                <w:szCs w:val="20"/>
              </w:rPr>
            </w:pPr>
            <w:r w:rsidRPr="31D33D1B">
              <w:rPr>
                <w:b/>
                <w:bCs/>
                <w:sz w:val="20"/>
                <w:szCs w:val="20"/>
              </w:rPr>
              <w:t>MLL</w:t>
            </w:r>
            <w:r w:rsidR="00437236" w:rsidRPr="31D33D1B">
              <w:rPr>
                <w:b/>
                <w:bCs/>
                <w:sz w:val="20"/>
                <w:szCs w:val="20"/>
              </w:rPr>
              <w:t xml:space="preserve"> Metric </w:t>
            </w:r>
          </w:p>
        </w:tc>
        <w:tc>
          <w:tcPr>
            <w:tcW w:w="3150" w:type="dxa"/>
            <w:shd w:val="clear" w:color="auto" w:fill="D0CECE" w:themeFill="background2" w:themeFillShade="E6"/>
          </w:tcPr>
          <w:p w14:paraId="01FCCDB3" w14:textId="4A75CCF2" w:rsidR="00E86CEB" w:rsidRPr="00FA572F" w:rsidRDefault="00E86CEB" w:rsidP="008C6926">
            <w:pPr>
              <w:rPr>
                <w:b/>
                <w:sz w:val="20"/>
                <w:szCs w:val="20"/>
              </w:rPr>
            </w:pPr>
            <w:r>
              <w:rPr>
                <w:b/>
                <w:sz w:val="20"/>
                <w:szCs w:val="20"/>
              </w:rPr>
              <w:t xml:space="preserve">Evidence </w:t>
            </w:r>
          </w:p>
        </w:tc>
        <w:tc>
          <w:tcPr>
            <w:tcW w:w="3060" w:type="dxa"/>
            <w:shd w:val="clear" w:color="auto" w:fill="D0CECE" w:themeFill="background2" w:themeFillShade="E6"/>
          </w:tcPr>
          <w:p w14:paraId="642DE38E" w14:textId="0C0CBA3F" w:rsidR="00E86CEB" w:rsidRPr="00FA572F" w:rsidRDefault="00BE0EB2" w:rsidP="008C6926">
            <w:pPr>
              <w:rPr>
                <w:b/>
                <w:sz w:val="20"/>
                <w:szCs w:val="20"/>
              </w:rPr>
            </w:pPr>
            <w:r>
              <w:rPr>
                <w:b/>
                <w:sz w:val="20"/>
                <w:szCs w:val="20"/>
              </w:rPr>
              <w:t>Implications for Instruction</w:t>
            </w:r>
          </w:p>
        </w:tc>
      </w:tr>
      <w:tr w:rsidR="00BE0EB2" w14:paraId="545B2F16" w14:textId="77777777" w:rsidTr="008123D2">
        <w:tc>
          <w:tcPr>
            <w:tcW w:w="1619" w:type="dxa"/>
            <w:vMerge w:val="restart"/>
            <w:shd w:val="clear" w:color="auto" w:fill="B4C6E7" w:themeFill="accent1" w:themeFillTint="66"/>
          </w:tcPr>
          <w:p w14:paraId="71CA286F" w14:textId="4AF48623" w:rsidR="00BE0EB2" w:rsidRPr="007760A5" w:rsidRDefault="00BE0EB2" w:rsidP="007760A5">
            <w:pPr>
              <w:rPr>
                <w:b/>
                <w:sz w:val="20"/>
                <w:szCs w:val="20"/>
              </w:rPr>
            </w:pPr>
            <w:r>
              <w:rPr>
                <w:b/>
                <w:sz w:val="20"/>
                <w:szCs w:val="20"/>
              </w:rPr>
              <w:t xml:space="preserve">I. </w:t>
            </w:r>
            <w:r w:rsidRPr="007760A5">
              <w:rPr>
                <w:b/>
                <w:sz w:val="20"/>
                <w:szCs w:val="20"/>
              </w:rPr>
              <w:t>Interdependence of Oral Language, Disciplinary Writing, and Text Engagement</w:t>
            </w:r>
          </w:p>
        </w:tc>
        <w:tc>
          <w:tcPr>
            <w:tcW w:w="7291" w:type="dxa"/>
          </w:tcPr>
          <w:p w14:paraId="241D1415" w14:textId="0F007B11" w:rsidR="00BE0EB2" w:rsidRDefault="00BE0EB2" w:rsidP="009047F0">
            <w:pPr>
              <w:rPr>
                <w:sz w:val="20"/>
                <w:szCs w:val="20"/>
              </w:rPr>
            </w:pPr>
            <w:r>
              <w:rPr>
                <w:sz w:val="20"/>
                <w:szCs w:val="20"/>
              </w:rPr>
              <w:t xml:space="preserve">1. Materials promote activities (including speaking and listening) that build opportunities for students to engage with grade-level content and to develop disciplinary practices and knowledge of subject matter. </w:t>
            </w:r>
          </w:p>
          <w:p w14:paraId="6DEAECF9" w14:textId="77777777" w:rsidR="00BE0EB2" w:rsidRDefault="00BE0EB2" w:rsidP="00F96FE6">
            <w:pPr>
              <w:pStyle w:val="ListParagraph"/>
              <w:numPr>
                <w:ilvl w:val="0"/>
                <w:numId w:val="6"/>
              </w:numPr>
              <w:rPr>
                <w:sz w:val="20"/>
                <w:szCs w:val="20"/>
              </w:rPr>
            </w:pPr>
            <w:r w:rsidRPr="00F96FE6">
              <w:rPr>
                <w:sz w:val="20"/>
                <w:szCs w:val="20"/>
              </w:rPr>
              <w:t xml:space="preserve">Include conversations to help students hear and imitate more fluent others </w:t>
            </w:r>
          </w:p>
          <w:p w14:paraId="7825806E" w14:textId="77777777" w:rsidR="00BE0EB2" w:rsidRDefault="00BE0EB2" w:rsidP="00F96FE6">
            <w:pPr>
              <w:pStyle w:val="ListParagraph"/>
              <w:numPr>
                <w:ilvl w:val="0"/>
                <w:numId w:val="6"/>
              </w:numPr>
              <w:rPr>
                <w:sz w:val="20"/>
                <w:szCs w:val="20"/>
              </w:rPr>
            </w:pPr>
            <w:r>
              <w:rPr>
                <w:sz w:val="20"/>
                <w:szCs w:val="20"/>
              </w:rPr>
              <w:t>Engage in conversation to negotiate meaning and co-construct knowledge</w:t>
            </w:r>
          </w:p>
          <w:p w14:paraId="4C2AC65B" w14:textId="77777777" w:rsidR="00BE0EB2" w:rsidRDefault="00BE0EB2" w:rsidP="00F96FE6">
            <w:pPr>
              <w:pStyle w:val="ListParagraph"/>
              <w:numPr>
                <w:ilvl w:val="0"/>
                <w:numId w:val="6"/>
              </w:numPr>
              <w:rPr>
                <w:sz w:val="20"/>
                <w:szCs w:val="20"/>
              </w:rPr>
            </w:pPr>
            <w:r>
              <w:rPr>
                <w:sz w:val="20"/>
                <w:szCs w:val="20"/>
              </w:rPr>
              <w:t xml:space="preserve">Grouping strategies to promote use of oral language resources </w:t>
            </w:r>
          </w:p>
          <w:p w14:paraId="369C974D" w14:textId="77777777" w:rsidR="006F6314" w:rsidRDefault="006F6314" w:rsidP="006F6314">
            <w:pPr>
              <w:rPr>
                <w:sz w:val="20"/>
                <w:szCs w:val="20"/>
              </w:rPr>
            </w:pPr>
          </w:p>
          <w:p w14:paraId="357B3681" w14:textId="77777777" w:rsidR="006F6314" w:rsidRDefault="006F6314" w:rsidP="006F6314">
            <w:pPr>
              <w:rPr>
                <w:sz w:val="20"/>
                <w:szCs w:val="20"/>
              </w:rPr>
            </w:pPr>
          </w:p>
          <w:p w14:paraId="737E1518" w14:textId="306533A6" w:rsidR="006F6314" w:rsidRPr="006F6314" w:rsidRDefault="006F6314" w:rsidP="006F6314">
            <w:pPr>
              <w:rPr>
                <w:sz w:val="20"/>
                <w:szCs w:val="20"/>
              </w:rPr>
            </w:pPr>
          </w:p>
        </w:tc>
        <w:tc>
          <w:tcPr>
            <w:tcW w:w="3150" w:type="dxa"/>
          </w:tcPr>
          <w:p w14:paraId="483F3BDA" w14:textId="77777777" w:rsidR="00BE0EB2" w:rsidRDefault="00BE0EB2" w:rsidP="47862355">
            <w:pPr>
              <w:rPr>
                <w:b/>
                <w:bCs/>
                <w:sz w:val="20"/>
                <w:szCs w:val="20"/>
              </w:rPr>
            </w:pPr>
          </w:p>
        </w:tc>
        <w:tc>
          <w:tcPr>
            <w:tcW w:w="3060" w:type="dxa"/>
          </w:tcPr>
          <w:p w14:paraId="46FC33C7" w14:textId="4A2CE073" w:rsidR="00BE0EB2" w:rsidRPr="00FA572F" w:rsidRDefault="00BE0EB2" w:rsidP="47862355">
            <w:pPr>
              <w:rPr>
                <w:b/>
                <w:bCs/>
                <w:sz w:val="20"/>
                <w:szCs w:val="20"/>
              </w:rPr>
            </w:pPr>
          </w:p>
        </w:tc>
      </w:tr>
      <w:tr w:rsidR="00BE0EB2" w14:paraId="6FAE4DAD" w14:textId="77777777" w:rsidTr="008123D2">
        <w:tc>
          <w:tcPr>
            <w:tcW w:w="1619" w:type="dxa"/>
            <w:vMerge/>
          </w:tcPr>
          <w:p w14:paraId="492A3802" w14:textId="77777777" w:rsidR="00BE0EB2" w:rsidRPr="00FA572F" w:rsidRDefault="00BE0EB2" w:rsidP="009047F0">
            <w:pPr>
              <w:rPr>
                <w:b/>
                <w:sz w:val="20"/>
                <w:szCs w:val="20"/>
              </w:rPr>
            </w:pPr>
          </w:p>
        </w:tc>
        <w:tc>
          <w:tcPr>
            <w:tcW w:w="7291" w:type="dxa"/>
          </w:tcPr>
          <w:p w14:paraId="1F37727A" w14:textId="77777777" w:rsidR="00BE0EB2" w:rsidRDefault="00BE0EB2" w:rsidP="00981099">
            <w:pPr>
              <w:rPr>
                <w:sz w:val="20"/>
                <w:szCs w:val="20"/>
              </w:rPr>
            </w:pPr>
            <w:r>
              <w:rPr>
                <w:sz w:val="20"/>
                <w:szCs w:val="20"/>
              </w:rPr>
              <w:t xml:space="preserve">2. Writing activities engage students in discussion of topics and prompts with peers and teachers throughout and as an integral part of the writing process. </w:t>
            </w:r>
          </w:p>
          <w:p w14:paraId="0F5E0967" w14:textId="52E6CC7A" w:rsidR="006F6314" w:rsidRDefault="006F6314" w:rsidP="00981099">
            <w:pPr>
              <w:rPr>
                <w:sz w:val="20"/>
                <w:szCs w:val="20"/>
              </w:rPr>
            </w:pPr>
          </w:p>
          <w:p w14:paraId="7B3F4772" w14:textId="750DB2B4" w:rsidR="006F6314" w:rsidRDefault="006F6314" w:rsidP="00981099">
            <w:pPr>
              <w:rPr>
                <w:sz w:val="20"/>
                <w:szCs w:val="20"/>
              </w:rPr>
            </w:pPr>
          </w:p>
          <w:p w14:paraId="298DA5C4" w14:textId="77777777" w:rsidR="006F6314" w:rsidRDefault="006F6314" w:rsidP="00981099">
            <w:pPr>
              <w:rPr>
                <w:sz w:val="20"/>
                <w:szCs w:val="20"/>
              </w:rPr>
            </w:pPr>
          </w:p>
          <w:p w14:paraId="73B37678" w14:textId="2D2F6C64" w:rsidR="006F6314" w:rsidRPr="00FA572F" w:rsidRDefault="006F6314" w:rsidP="00981099">
            <w:pPr>
              <w:rPr>
                <w:sz w:val="20"/>
                <w:szCs w:val="20"/>
              </w:rPr>
            </w:pPr>
          </w:p>
        </w:tc>
        <w:tc>
          <w:tcPr>
            <w:tcW w:w="3150" w:type="dxa"/>
          </w:tcPr>
          <w:p w14:paraId="59834957" w14:textId="77777777" w:rsidR="00BE0EB2" w:rsidRDefault="00BE0EB2" w:rsidP="47862355">
            <w:pPr>
              <w:rPr>
                <w:b/>
                <w:bCs/>
                <w:sz w:val="20"/>
                <w:szCs w:val="20"/>
              </w:rPr>
            </w:pPr>
          </w:p>
        </w:tc>
        <w:tc>
          <w:tcPr>
            <w:tcW w:w="3060" w:type="dxa"/>
          </w:tcPr>
          <w:p w14:paraId="46D4E051" w14:textId="2C3A0DB7" w:rsidR="00BE0EB2" w:rsidRPr="00FA572F" w:rsidRDefault="00BE0EB2" w:rsidP="47862355">
            <w:pPr>
              <w:rPr>
                <w:b/>
                <w:bCs/>
                <w:sz w:val="20"/>
                <w:szCs w:val="20"/>
              </w:rPr>
            </w:pPr>
          </w:p>
        </w:tc>
      </w:tr>
      <w:tr w:rsidR="00BE0EB2" w14:paraId="562C8BC8" w14:textId="77777777" w:rsidTr="008123D2">
        <w:tc>
          <w:tcPr>
            <w:tcW w:w="1619" w:type="dxa"/>
            <w:vMerge/>
          </w:tcPr>
          <w:p w14:paraId="15EA69D8" w14:textId="77777777" w:rsidR="00BE0EB2" w:rsidRPr="00FA572F" w:rsidRDefault="00BE0EB2" w:rsidP="009047F0">
            <w:pPr>
              <w:rPr>
                <w:b/>
                <w:sz w:val="20"/>
                <w:szCs w:val="20"/>
              </w:rPr>
            </w:pPr>
          </w:p>
        </w:tc>
        <w:tc>
          <w:tcPr>
            <w:tcW w:w="7291" w:type="dxa"/>
          </w:tcPr>
          <w:p w14:paraId="0EA0EC60" w14:textId="77777777" w:rsidR="00BE0EB2" w:rsidRDefault="00BE0EB2" w:rsidP="00FD1CD7">
            <w:pPr>
              <w:rPr>
                <w:sz w:val="20"/>
                <w:szCs w:val="20"/>
              </w:rPr>
            </w:pPr>
            <w:r>
              <w:rPr>
                <w:sz w:val="20"/>
                <w:szCs w:val="20"/>
              </w:rPr>
              <w:t xml:space="preserve">3. Interactive language development activities (grouping strategies, eliciting background knowledge and discussing related topics) build opportunities to engage with grade-level texts. </w:t>
            </w:r>
          </w:p>
          <w:p w14:paraId="5B06731F" w14:textId="56859D02" w:rsidR="006F6314" w:rsidRDefault="006F6314" w:rsidP="00FD1CD7">
            <w:pPr>
              <w:rPr>
                <w:sz w:val="20"/>
                <w:szCs w:val="20"/>
              </w:rPr>
            </w:pPr>
          </w:p>
          <w:p w14:paraId="5EE54691" w14:textId="1515C15D" w:rsidR="006F6314" w:rsidRDefault="006F6314" w:rsidP="00FD1CD7">
            <w:pPr>
              <w:rPr>
                <w:sz w:val="20"/>
                <w:szCs w:val="20"/>
              </w:rPr>
            </w:pPr>
          </w:p>
          <w:p w14:paraId="7EA7B684" w14:textId="77777777" w:rsidR="006F6314" w:rsidRDefault="006F6314" w:rsidP="00FD1CD7">
            <w:pPr>
              <w:rPr>
                <w:sz w:val="20"/>
                <w:szCs w:val="20"/>
              </w:rPr>
            </w:pPr>
          </w:p>
          <w:p w14:paraId="5CEB2E1A" w14:textId="4E98E7EE" w:rsidR="006F6314" w:rsidRPr="00FA572F" w:rsidRDefault="006F6314" w:rsidP="00FD1CD7">
            <w:pPr>
              <w:rPr>
                <w:sz w:val="20"/>
                <w:szCs w:val="20"/>
              </w:rPr>
            </w:pPr>
          </w:p>
        </w:tc>
        <w:tc>
          <w:tcPr>
            <w:tcW w:w="3150" w:type="dxa"/>
          </w:tcPr>
          <w:p w14:paraId="7C314642" w14:textId="77777777" w:rsidR="00BE0EB2" w:rsidRDefault="00BE0EB2" w:rsidP="47862355">
            <w:pPr>
              <w:rPr>
                <w:b/>
                <w:bCs/>
                <w:sz w:val="20"/>
                <w:szCs w:val="20"/>
              </w:rPr>
            </w:pPr>
          </w:p>
        </w:tc>
        <w:tc>
          <w:tcPr>
            <w:tcW w:w="3060" w:type="dxa"/>
          </w:tcPr>
          <w:p w14:paraId="455482D9" w14:textId="6C1CE996" w:rsidR="00BE0EB2" w:rsidRPr="47862355" w:rsidRDefault="00BE0EB2" w:rsidP="47862355">
            <w:pPr>
              <w:rPr>
                <w:b/>
                <w:bCs/>
                <w:sz w:val="20"/>
                <w:szCs w:val="20"/>
              </w:rPr>
            </w:pPr>
          </w:p>
        </w:tc>
      </w:tr>
      <w:tr w:rsidR="00BE0EB2" w14:paraId="4E887C2A" w14:textId="77777777" w:rsidTr="008123D2">
        <w:tc>
          <w:tcPr>
            <w:tcW w:w="1619" w:type="dxa"/>
            <w:vMerge w:val="restart"/>
            <w:shd w:val="clear" w:color="auto" w:fill="F4B083" w:themeFill="accent2" w:themeFillTint="99"/>
          </w:tcPr>
          <w:p w14:paraId="530E8A6A" w14:textId="23631297" w:rsidR="00BE0EB2" w:rsidRDefault="00BE0EB2" w:rsidP="009047F0">
            <w:pPr>
              <w:rPr>
                <w:b/>
                <w:sz w:val="20"/>
                <w:szCs w:val="20"/>
              </w:rPr>
            </w:pPr>
            <w:r>
              <w:rPr>
                <w:b/>
                <w:sz w:val="20"/>
                <w:szCs w:val="20"/>
              </w:rPr>
              <w:t xml:space="preserve">II.  Sustained Language and Content Support </w:t>
            </w:r>
          </w:p>
        </w:tc>
        <w:tc>
          <w:tcPr>
            <w:tcW w:w="7291" w:type="dxa"/>
          </w:tcPr>
          <w:p w14:paraId="01FA3C6A" w14:textId="693636EF" w:rsidR="00BE0EB2" w:rsidRDefault="00BE0EB2" w:rsidP="54904D6E">
            <w:pPr>
              <w:rPr>
                <w:sz w:val="20"/>
                <w:szCs w:val="20"/>
              </w:rPr>
            </w:pPr>
            <w:r w:rsidRPr="54904D6E">
              <w:rPr>
                <w:sz w:val="20"/>
                <w:szCs w:val="20"/>
              </w:rPr>
              <w:t>4. Materials gradually advance the level of language practices, analytical skills, and conceptual understanding as a unit progresses.</w:t>
            </w:r>
          </w:p>
          <w:p w14:paraId="213CD3A8" w14:textId="77777777" w:rsidR="00BE0EB2" w:rsidRDefault="00BE0EB2" w:rsidP="00FD1CD7">
            <w:pPr>
              <w:pStyle w:val="ListParagraph"/>
              <w:numPr>
                <w:ilvl w:val="0"/>
                <w:numId w:val="8"/>
              </w:numPr>
              <w:rPr>
                <w:sz w:val="20"/>
                <w:szCs w:val="20"/>
              </w:rPr>
            </w:pPr>
            <w:r w:rsidRPr="00FD1CD7">
              <w:rPr>
                <w:sz w:val="20"/>
                <w:szCs w:val="20"/>
              </w:rPr>
              <w:t>Grade-level text as well as additional relevant, high quality texts</w:t>
            </w:r>
          </w:p>
          <w:p w14:paraId="49A58A6A" w14:textId="499E39DC" w:rsidR="00BE0EB2" w:rsidRDefault="00BE0EB2" w:rsidP="00FD1CD7">
            <w:pPr>
              <w:pStyle w:val="ListParagraph"/>
              <w:numPr>
                <w:ilvl w:val="0"/>
                <w:numId w:val="8"/>
              </w:numPr>
              <w:rPr>
                <w:sz w:val="20"/>
                <w:szCs w:val="20"/>
              </w:rPr>
            </w:pPr>
            <w:r>
              <w:rPr>
                <w:sz w:val="20"/>
                <w:szCs w:val="20"/>
              </w:rPr>
              <w:t>Apply text engineering such as inserting headings/questions, chunking texts, and including parentheses with explanation, definitions or more details</w:t>
            </w:r>
          </w:p>
          <w:p w14:paraId="7E05BEA4" w14:textId="77777777" w:rsidR="00BE0EB2" w:rsidRDefault="00BE0EB2" w:rsidP="00FD1CD7">
            <w:pPr>
              <w:pStyle w:val="ListParagraph"/>
              <w:numPr>
                <w:ilvl w:val="0"/>
                <w:numId w:val="8"/>
              </w:numPr>
              <w:rPr>
                <w:sz w:val="20"/>
                <w:szCs w:val="20"/>
              </w:rPr>
            </w:pPr>
            <w:r>
              <w:rPr>
                <w:sz w:val="20"/>
                <w:szCs w:val="20"/>
              </w:rPr>
              <w:t xml:space="preserve">Materials help to connect texts, concepts and essential understandings </w:t>
            </w:r>
          </w:p>
          <w:p w14:paraId="6FE0F14D" w14:textId="7BC2DF84" w:rsidR="006F6314" w:rsidRPr="006F6314" w:rsidRDefault="006F6314" w:rsidP="006F6314">
            <w:pPr>
              <w:rPr>
                <w:sz w:val="20"/>
                <w:szCs w:val="20"/>
              </w:rPr>
            </w:pPr>
          </w:p>
        </w:tc>
        <w:tc>
          <w:tcPr>
            <w:tcW w:w="3150" w:type="dxa"/>
          </w:tcPr>
          <w:p w14:paraId="49023707" w14:textId="77777777" w:rsidR="00BE0EB2" w:rsidRDefault="00BE0EB2" w:rsidP="47862355">
            <w:pPr>
              <w:rPr>
                <w:b/>
                <w:bCs/>
                <w:sz w:val="20"/>
                <w:szCs w:val="20"/>
              </w:rPr>
            </w:pPr>
          </w:p>
        </w:tc>
        <w:tc>
          <w:tcPr>
            <w:tcW w:w="3060" w:type="dxa"/>
          </w:tcPr>
          <w:p w14:paraId="23960D49" w14:textId="0B418877" w:rsidR="00BE0EB2" w:rsidRDefault="00BE0EB2" w:rsidP="47862355">
            <w:pPr>
              <w:rPr>
                <w:b/>
                <w:bCs/>
                <w:sz w:val="20"/>
                <w:szCs w:val="20"/>
              </w:rPr>
            </w:pPr>
          </w:p>
        </w:tc>
      </w:tr>
      <w:tr w:rsidR="00BE0EB2" w14:paraId="3171F637" w14:textId="77777777" w:rsidTr="008123D2">
        <w:trPr>
          <w:trHeight w:val="359"/>
        </w:trPr>
        <w:tc>
          <w:tcPr>
            <w:tcW w:w="1619" w:type="dxa"/>
            <w:vMerge/>
          </w:tcPr>
          <w:p w14:paraId="574F564B" w14:textId="02079C18" w:rsidR="00BE0EB2" w:rsidRDefault="00BE0EB2" w:rsidP="009047F0">
            <w:pPr>
              <w:rPr>
                <w:b/>
                <w:sz w:val="20"/>
                <w:szCs w:val="20"/>
              </w:rPr>
            </w:pPr>
          </w:p>
        </w:tc>
        <w:tc>
          <w:tcPr>
            <w:tcW w:w="7291" w:type="dxa"/>
          </w:tcPr>
          <w:p w14:paraId="79AEE2ED" w14:textId="77777777" w:rsidR="00BE0EB2" w:rsidRDefault="00BE0EB2" w:rsidP="009047F0">
            <w:pPr>
              <w:rPr>
                <w:sz w:val="20"/>
                <w:szCs w:val="20"/>
              </w:rPr>
            </w:pPr>
            <w:r>
              <w:rPr>
                <w:sz w:val="20"/>
                <w:szCs w:val="20"/>
              </w:rPr>
              <w:t xml:space="preserve">5. Materials reflect the understanding that students learn language though prolonged exposure along with opportunities to negotiate content and ideas in the target language, with scaffolds and support for further development as needed. </w:t>
            </w:r>
          </w:p>
          <w:p w14:paraId="718AF97F" w14:textId="1EC7B173" w:rsidR="00BE0EB2" w:rsidRDefault="00BE0EB2" w:rsidP="00FD1CD7">
            <w:pPr>
              <w:pStyle w:val="ListParagraph"/>
              <w:numPr>
                <w:ilvl w:val="0"/>
                <w:numId w:val="9"/>
              </w:numPr>
              <w:rPr>
                <w:sz w:val="20"/>
                <w:szCs w:val="20"/>
              </w:rPr>
            </w:pPr>
            <w:r>
              <w:rPr>
                <w:sz w:val="20"/>
                <w:szCs w:val="20"/>
              </w:rPr>
              <w:t xml:space="preserve">Increasing sophistication, precision, and/or complexity of language </w:t>
            </w:r>
          </w:p>
          <w:p w14:paraId="2664EDEC" w14:textId="77777777" w:rsidR="00BE0EB2" w:rsidRDefault="00BE0EB2" w:rsidP="004C0B70">
            <w:pPr>
              <w:pStyle w:val="ListParagraph"/>
              <w:numPr>
                <w:ilvl w:val="0"/>
                <w:numId w:val="9"/>
              </w:numPr>
              <w:rPr>
                <w:sz w:val="20"/>
                <w:szCs w:val="20"/>
              </w:rPr>
            </w:pPr>
            <w:r>
              <w:rPr>
                <w:sz w:val="20"/>
                <w:szCs w:val="20"/>
              </w:rPr>
              <w:t>Scaffolds might include visual organizers, sentence frames/starters, hands-on materials, role plays</w:t>
            </w:r>
          </w:p>
          <w:p w14:paraId="19AE5C95" w14:textId="330A1F71" w:rsidR="006F6314" w:rsidRPr="006F6314" w:rsidRDefault="006F6314" w:rsidP="006F6314">
            <w:pPr>
              <w:rPr>
                <w:sz w:val="20"/>
                <w:szCs w:val="20"/>
              </w:rPr>
            </w:pPr>
          </w:p>
        </w:tc>
        <w:tc>
          <w:tcPr>
            <w:tcW w:w="3150" w:type="dxa"/>
          </w:tcPr>
          <w:p w14:paraId="0697098F" w14:textId="77777777" w:rsidR="00BE0EB2" w:rsidRDefault="00BE0EB2" w:rsidP="47862355">
            <w:pPr>
              <w:rPr>
                <w:b/>
                <w:bCs/>
                <w:sz w:val="20"/>
                <w:szCs w:val="20"/>
              </w:rPr>
            </w:pPr>
          </w:p>
        </w:tc>
        <w:tc>
          <w:tcPr>
            <w:tcW w:w="3060" w:type="dxa"/>
          </w:tcPr>
          <w:p w14:paraId="512271BB" w14:textId="50348E3D" w:rsidR="00BE0EB2" w:rsidRDefault="00BE0EB2" w:rsidP="47862355">
            <w:pPr>
              <w:rPr>
                <w:b/>
                <w:bCs/>
                <w:sz w:val="20"/>
                <w:szCs w:val="20"/>
              </w:rPr>
            </w:pPr>
          </w:p>
        </w:tc>
      </w:tr>
      <w:tr w:rsidR="00BE0EB2" w14:paraId="1992A63F" w14:textId="77777777" w:rsidTr="008123D2">
        <w:trPr>
          <w:trHeight w:val="485"/>
        </w:trPr>
        <w:tc>
          <w:tcPr>
            <w:tcW w:w="1619" w:type="dxa"/>
            <w:vMerge/>
          </w:tcPr>
          <w:p w14:paraId="0CE6E647" w14:textId="29E1103D" w:rsidR="00BE0EB2" w:rsidRPr="00FA572F" w:rsidRDefault="00BE0EB2" w:rsidP="009047F0">
            <w:pPr>
              <w:rPr>
                <w:b/>
                <w:sz w:val="20"/>
                <w:szCs w:val="20"/>
              </w:rPr>
            </w:pPr>
          </w:p>
        </w:tc>
        <w:tc>
          <w:tcPr>
            <w:tcW w:w="7291" w:type="dxa"/>
          </w:tcPr>
          <w:p w14:paraId="05276EBC" w14:textId="77777777" w:rsidR="00BE0EB2" w:rsidRDefault="00BE0EB2" w:rsidP="009047F0">
            <w:pPr>
              <w:rPr>
                <w:sz w:val="20"/>
                <w:szCs w:val="20"/>
              </w:rPr>
            </w:pPr>
            <w:r>
              <w:rPr>
                <w:sz w:val="20"/>
                <w:szCs w:val="20"/>
              </w:rPr>
              <w:t xml:space="preserve">6. Materials provide scaffolds and create tasks that lead students to build an increased understanding of the complex grade-level text over time through multiple close readings. </w:t>
            </w:r>
          </w:p>
          <w:p w14:paraId="442F16C2" w14:textId="77777777" w:rsidR="006F6314" w:rsidRDefault="006F6314" w:rsidP="009047F0">
            <w:pPr>
              <w:rPr>
                <w:sz w:val="20"/>
                <w:szCs w:val="20"/>
              </w:rPr>
            </w:pPr>
          </w:p>
          <w:p w14:paraId="1F02A84E" w14:textId="77777777" w:rsidR="006F6314" w:rsidRDefault="006F6314" w:rsidP="009047F0">
            <w:pPr>
              <w:rPr>
                <w:sz w:val="20"/>
                <w:szCs w:val="20"/>
              </w:rPr>
            </w:pPr>
          </w:p>
          <w:p w14:paraId="111CF229" w14:textId="00D8FA30" w:rsidR="006F6314" w:rsidRPr="00FA572F" w:rsidRDefault="006F6314" w:rsidP="009047F0">
            <w:pPr>
              <w:rPr>
                <w:sz w:val="20"/>
                <w:szCs w:val="20"/>
              </w:rPr>
            </w:pPr>
          </w:p>
        </w:tc>
        <w:tc>
          <w:tcPr>
            <w:tcW w:w="3150" w:type="dxa"/>
          </w:tcPr>
          <w:p w14:paraId="392786FA" w14:textId="77777777" w:rsidR="00BE0EB2" w:rsidRDefault="00BE0EB2" w:rsidP="47862355">
            <w:pPr>
              <w:rPr>
                <w:b/>
                <w:bCs/>
                <w:sz w:val="20"/>
                <w:szCs w:val="20"/>
              </w:rPr>
            </w:pPr>
          </w:p>
        </w:tc>
        <w:tc>
          <w:tcPr>
            <w:tcW w:w="3060" w:type="dxa"/>
          </w:tcPr>
          <w:p w14:paraId="1E82C37F" w14:textId="1702599D" w:rsidR="00BE0EB2" w:rsidRPr="00FA572F" w:rsidRDefault="00BE0EB2" w:rsidP="47862355">
            <w:pPr>
              <w:rPr>
                <w:b/>
                <w:bCs/>
                <w:sz w:val="20"/>
                <w:szCs w:val="20"/>
              </w:rPr>
            </w:pPr>
          </w:p>
        </w:tc>
      </w:tr>
      <w:tr w:rsidR="00BE0EB2" w14:paraId="3CE04B0D" w14:textId="77777777" w:rsidTr="008123D2">
        <w:trPr>
          <w:trHeight w:val="485"/>
        </w:trPr>
        <w:tc>
          <w:tcPr>
            <w:tcW w:w="1619" w:type="dxa"/>
            <w:vMerge/>
          </w:tcPr>
          <w:p w14:paraId="5BA162B1" w14:textId="77777777" w:rsidR="00BE0EB2" w:rsidRPr="00FA572F" w:rsidRDefault="00BE0EB2" w:rsidP="009047F0">
            <w:pPr>
              <w:rPr>
                <w:b/>
                <w:sz w:val="20"/>
                <w:szCs w:val="20"/>
              </w:rPr>
            </w:pPr>
          </w:p>
        </w:tc>
        <w:tc>
          <w:tcPr>
            <w:tcW w:w="7291" w:type="dxa"/>
          </w:tcPr>
          <w:p w14:paraId="69EE8C89" w14:textId="77777777" w:rsidR="00BE0EB2" w:rsidRDefault="00BE0EB2" w:rsidP="00AF7515">
            <w:pPr>
              <w:rPr>
                <w:sz w:val="20"/>
                <w:szCs w:val="20"/>
              </w:rPr>
            </w:pPr>
            <w:r>
              <w:rPr>
                <w:sz w:val="20"/>
                <w:szCs w:val="20"/>
              </w:rPr>
              <w:t xml:space="preserve">7.  Writing activities explicitly and cumulatively build a nexus of college and career-ready skills as the curriculum progresses. </w:t>
            </w:r>
          </w:p>
          <w:p w14:paraId="798B7E07" w14:textId="6E26E5B1" w:rsidR="00BE0EB2" w:rsidRPr="002E3491" w:rsidRDefault="00BE0EB2" w:rsidP="002E3491">
            <w:pPr>
              <w:pStyle w:val="ListParagraph"/>
              <w:numPr>
                <w:ilvl w:val="0"/>
                <w:numId w:val="11"/>
              </w:numPr>
              <w:rPr>
                <w:sz w:val="20"/>
                <w:szCs w:val="20"/>
              </w:rPr>
            </w:pPr>
            <w:r>
              <w:rPr>
                <w:sz w:val="20"/>
                <w:szCs w:val="20"/>
              </w:rPr>
              <w:t>Collaborative r</w:t>
            </w:r>
            <w:r w:rsidRPr="002E3491">
              <w:rPr>
                <w:sz w:val="20"/>
                <w:szCs w:val="20"/>
              </w:rPr>
              <w:t>esearch prior to inde</w:t>
            </w:r>
            <w:r>
              <w:rPr>
                <w:sz w:val="20"/>
                <w:szCs w:val="20"/>
              </w:rPr>
              <w:t xml:space="preserve">pendent research </w:t>
            </w:r>
            <w:r w:rsidRPr="002E3491">
              <w:rPr>
                <w:sz w:val="20"/>
                <w:szCs w:val="20"/>
              </w:rPr>
              <w:t xml:space="preserve"> </w:t>
            </w:r>
          </w:p>
          <w:p w14:paraId="1675C9A0" w14:textId="44AF4B6F" w:rsidR="00BE0EB2" w:rsidRDefault="00BE0EB2" w:rsidP="002E3491">
            <w:pPr>
              <w:pStyle w:val="ListParagraph"/>
              <w:numPr>
                <w:ilvl w:val="0"/>
                <w:numId w:val="10"/>
              </w:numPr>
              <w:rPr>
                <w:sz w:val="20"/>
                <w:szCs w:val="20"/>
              </w:rPr>
            </w:pPr>
            <w:r>
              <w:rPr>
                <w:sz w:val="20"/>
                <w:szCs w:val="20"/>
              </w:rPr>
              <w:t xml:space="preserve">Revision and editing focus on specific content or editing issues each time </w:t>
            </w:r>
          </w:p>
          <w:p w14:paraId="36C13AA6" w14:textId="77777777" w:rsidR="00BE0EB2" w:rsidRDefault="00BE0EB2" w:rsidP="002E3491">
            <w:pPr>
              <w:pStyle w:val="ListParagraph"/>
              <w:numPr>
                <w:ilvl w:val="0"/>
                <w:numId w:val="10"/>
              </w:numPr>
              <w:rPr>
                <w:sz w:val="20"/>
                <w:szCs w:val="20"/>
              </w:rPr>
            </w:pPr>
            <w:r>
              <w:rPr>
                <w:sz w:val="20"/>
                <w:szCs w:val="20"/>
              </w:rPr>
              <w:t xml:space="preserve">Oral discussion about arguments and claims before writing </w:t>
            </w:r>
          </w:p>
          <w:p w14:paraId="0AE4343D" w14:textId="77777777" w:rsidR="006F6314" w:rsidRDefault="006F6314" w:rsidP="006F6314">
            <w:pPr>
              <w:rPr>
                <w:sz w:val="20"/>
                <w:szCs w:val="20"/>
              </w:rPr>
            </w:pPr>
          </w:p>
          <w:p w14:paraId="4987FBF0" w14:textId="77777777" w:rsidR="006F6314" w:rsidRDefault="006F6314" w:rsidP="006F6314">
            <w:pPr>
              <w:rPr>
                <w:sz w:val="20"/>
                <w:szCs w:val="20"/>
              </w:rPr>
            </w:pPr>
          </w:p>
          <w:p w14:paraId="59540142" w14:textId="1D5463DE" w:rsidR="006F6314" w:rsidRPr="006F6314" w:rsidRDefault="006F6314" w:rsidP="006F6314">
            <w:pPr>
              <w:rPr>
                <w:sz w:val="20"/>
                <w:szCs w:val="20"/>
              </w:rPr>
            </w:pPr>
          </w:p>
        </w:tc>
        <w:tc>
          <w:tcPr>
            <w:tcW w:w="3150" w:type="dxa"/>
          </w:tcPr>
          <w:p w14:paraId="7DF38771" w14:textId="77777777" w:rsidR="00BE0EB2" w:rsidRDefault="00BE0EB2" w:rsidP="47862355">
            <w:pPr>
              <w:rPr>
                <w:b/>
                <w:bCs/>
                <w:sz w:val="20"/>
                <w:szCs w:val="20"/>
              </w:rPr>
            </w:pPr>
          </w:p>
        </w:tc>
        <w:tc>
          <w:tcPr>
            <w:tcW w:w="3060" w:type="dxa"/>
          </w:tcPr>
          <w:p w14:paraId="06C13379" w14:textId="5F77EE6B" w:rsidR="00BE0EB2" w:rsidRPr="47862355" w:rsidRDefault="00BE0EB2" w:rsidP="47862355">
            <w:pPr>
              <w:rPr>
                <w:b/>
                <w:bCs/>
                <w:sz w:val="20"/>
                <w:szCs w:val="20"/>
              </w:rPr>
            </w:pPr>
          </w:p>
        </w:tc>
      </w:tr>
      <w:tr w:rsidR="00BE0EB2" w14:paraId="1CB796B4" w14:textId="77777777" w:rsidTr="008123D2">
        <w:tc>
          <w:tcPr>
            <w:tcW w:w="1619" w:type="dxa"/>
            <w:vMerge w:val="restart"/>
            <w:shd w:val="clear" w:color="auto" w:fill="A8D08D" w:themeFill="accent6" w:themeFillTint="99"/>
          </w:tcPr>
          <w:p w14:paraId="2A0080D3" w14:textId="580349CD" w:rsidR="00BE0EB2" w:rsidRPr="00FA572F" w:rsidRDefault="00BE0EB2" w:rsidP="009047F0">
            <w:pPr>
              <w:rPr>
                <w:b/>
                <w:sz w:val="20"/>
                <w:szCs w:val="20"/>
              </w:rPr>
            </w:pPr>
            <w:r>
              <w:rPr>
                <w:b/>
                <w:sz w:val="20"/>
                <w:szCs w:val="20"/>
              </w:rPr>
              <w:t>III. Learner Awareness</w:t>
            </w:r>
          </w:p>
        </w:tc>
        <w:tc>
          <w:tcPr>
            <w:tcW w:w="7291" w:type="dxa"/>
          </w:tcPr>
          <w:p w14:paraId="7FB50A0A" w14:textId="77777777" w:rsidR="00BE0EB2" w:rsidRDefault="00BE0EB2" w:rsidP="009047F0">
            <w:pPr>
              <w:rPr>
                <w:sz w:val="20"/>
                <w:szCs w:val="20"/>
              </w:rPr>
            </w:pPr>
            <w:r>
              <w:rPr>
                <w:sz w:val="20"/>
                <w:szCs w:val="20"/>
              </w:rPr>
              <w:t xml:space="preserve">8. Student materials ensure learner awareness to guide reflection on their own learning. </w:t>
            </w:r>
          </w:p>
          <w:p w14:paraId="37777EF0" w14:textId="6AE59750" w:rsidR="00BE0EB2" w:rsidRDefault="00BE0EB2" w:rsidP="002E3491">
            <w:pPr>
              <w:pStyle w:val="ListParagraph"/>
              <w:numPr>
                <w:ilvl w:val="0"/>
                <w:numId w:val="12"/>
              </w:numPr>
              <w:rPr>
                <w:sz w:val="20"/>
                <w:szCs w:val="20"/>
              </w:rPr>
            </w:pPr>
            <w:r>
              <w:rPr>
                <w:sz w:val="20"/>
                <w:szCs w:val="20"/>
              </w:rPr>
              <w:t xml:space="preserve">Explicit and regular focus on syntax development </w:t>
            </w:r>
          </w:p>
          <w:p w14:paraId="04EAD45F" w14:textId="318CBB9E" w:rsidR="00BE0EB2" w:rsidRDefault="00BE0EB2" w:rsidP="002E3491">
            <w:pPr>
              <w:pStyle w:val="ListParagraph"/>
              <w:numPr>
                <w:ilvl w:val="0"/>
                <w:numId w:val="12"/>
              </w:numPr>
              <w:rPr>
                <w:sz w:val="20"/>
                <w:szCs w:val="20"/>
              </w:rPr>
            </w:pPr>
            <w:r>
              <w:rPr>
                <w:sz w:val="20"/>
                <w:szCs w:val="20"/>
              </w:rPr>
              <w:t xml:space="preserve">Vocabulary in the context of meaning-making, communicating, and drawing inferences </w:t>
            </w:r>
          </w:p>
          <w:p w14:paraId="1F093B45" w14:textId="77777777" w:rsidR="00BE0EB2" w:rsidRDefault="00BE0EB2" w:rsidP="002E3491">
            <w:pPr>
              <w:pStyle w:val="ListParagraph"/>
              <w:numPr>
                <w:ilvl w:val="0"/>
                <w:numId w:val="12"/>
              </w:numPr>
              <w:rPr>
                <w:sz w:val="20"/>
                <w:szCs w:val="20"/>
              </w:rPr>
            </w:pPr>
            <w:r>
              <w:rPr>
                <w:sz w:val="20"/>
                <w:szCs w:val="20"/>
              </w:rPr>
              <w:t>Models of strong, annotated writing provided to build understanding of purpose/audience</w:t>
            </w:r>
          </w:p>
          <w:p w14:paraId="4EDC5D78" w14:textId="10F33FE4" w:rsidR="006F6314" w:rsidRDefault="006F6314" w:rsidP="006F6314">
            <w:pPr>
              <w:rPr>
                <w:sz w:val="20"/>
                <w:szCs w:val="20"/>
              </w:rPr>
            </w:pPr>
          </w:p>
          <w:p w14:paraId="5EE6D60F" w14:textId="3515FE26" w:rsidR="006F6314" w:rsidRDefault="006F6314" w:rsidP="006F6314">
            <w:pPr>
              <w:rPr>
                <w:sz w:val="20"/>
                <w:szCs w:val="20"/>
              </w:rPr>
            </w:pPr>
          </w:p>
          <w:p w14:paraId="27C3CB20" w14:textId="77777777" w:rsidR="006F6314" w:rsidRDefault="006F6314" w:rsidP="006F6314">
            <w:pPr>
              <w:rPr>
                <w:sz w:val="20"/>
                <w:szCs w:val="20"/>
              </w:rPr>
            </w:pPr>
          </w:p>
          <w:p w14:paraId="705AF27F" w14:textId="6C1A7A8D" w:rsidR="006F6314" w:rsidRPr="006F6314" w:rsidRDefault="006F6314" w:rsidP="006F6314">
            <w:pPr>
              <w:rPr>
                <w:sz w:val="20"/>
                <w:szCs w:val="20"/>
              </w:rPr>
            </w:pPr>
          </w:p>
        </w:tc>
        <w:tc>
          <w:tcPr>
            <w:tcW w:w="3150" w:type="dxa"/>
          </w:tcPr>
          <w:p w14:paraId="00D6D2F2" w14:textId="77777777" w:rsidR="00BE0EB2" w:rsidRDefault="00BE0EB2" w:rsidP="47862355">
            <w:pPr>
              <w:rPr>
                <w:b/>
                <w:bCs/>
                <w:sz w:val="20"/>
                <w:szCs w:val="20"/>
              </w:rPr>
            </w:pPr>
          </w:p>
        </w:tc>
        <w:tc>
          <w:tcPr>
            <w:tcW w:w="3060" w:type="dxa"/>
          </w:tcPr>
          <w:p w14:paraId="6C15D5CA" w14:textId="78FB65A9" w:rsidR="00BE0EB2" w:rsidRPr="00FA572F" w:rsidRDefault="00BE0EB2" w:rsidP="47862355">
            <w:pPr>
              <w:rPr>
                <w:b/>
                <w:bCs/>
                <w:sz w:val="20"/>
                <w:szCs w:val="20"/>
              </w:rPr>
            </w:pPr>
          </w:p>
        </w:tc>
      </w:tr>
      <w:tr w:rsidR="00BE0EB2" w14:paraId="32E86F6F" w14:textId="77777777" w:rsidTr="008123D2">
        <w:tc>
          <w:tcPr>
            <w:tcW w:w="1619" w:type="dxa"/>
            <w:vMerge/>
          </w:tcPr>
          <w:p w14:paraId="769D5454" w14:textId="77777777" w:rsidR="00BE0EB2" w:rsidRPr="00FA572F" w:rsidRDefault="00BE0EB2" w:rsidP="009047F0">
            <w:pPr>
              <w:rPr>
                <w:b/>
                <w:sz w:val="20"/>
                <w:szCs w:val="20"/>
              </w:rPr>
            </w:pPr>
          </w:p>
        </w:tc>
        <w:tc>
          <w:tcPr>
            <w:tcW w:w="7291" w:type="dxa"/>
          </w:tcPr>
          <w:p w14:paraId="10E193CA" w14:textId="77777777" w:rsidR="00BE0EB2" w:rsidRDefault="00BE0EB2" w:rsidP="002E3491">
            <w:pPr>
              <w:rPr>
                <w:sz w:val="20"/>
                <w:szCs w:val="20"/>
              </w:rPr>
            </w:pPr>
            <w:r>
              <w:rPr>
                <w:sz w:val="20"/>
                <w:szCs w:val="20"/>
              </w:rPr>
              <w:t xml:space="preserve">9. Materials guide teacher to engage students in classroom activities that bring awareness to the ways that they can improve their communication (writing, reading, speaking, and listening) practices over time. </w:t>
            </w:r>
            <w:r w:rsidRPr="002E3491">
              <w:rPr>
                <w:sz w:val="20"/>
                <w:szCs w:val="20"/>
              </w:rPr>
              <w:t>Materials include guidance on linguistic and rhetorical patterns</w:t>
            </w:r>
            <w:r>
              <w:rPr>
                <w:sz w:val="20"/>
                <w:szCs w:val="20"/>
              </w:rPr>
              <w:t>.</w:t>
            </w:r>
            <w:r w:rsidRPr="002E3491">
              <w:rPr>
                <w:sz w:val="20"/>
                <w:szCs w:val="20"/>
              </w:rPr>
              <w:t xml:space="preserve"> </w:t>
            </w:r>
          </w:p>
          <w:p w14:paraId="543A15B4" w14:textId="1A5F33A3" w:rsidR="006F6314" w:rsidRDefault="006F6314" w:rsidP="002E3491">
            <w:pPr>
              <w:rPr>
                <w:sz w:val="20"/>
                <w:szCs w:val="20"/>
              </w:rPr>
            </w:pPr>
          </w:p>
          <w:p w14:paraId="514CBB05" w14:textId="4A7CF088" w:rsidR="006F6314" w:rsidRDefault="006F6314" w:rsidP="002E3491">
            <w:pPr>
              <w:rPr>
                <w:sz w:val="20"/>
                <w:szCs w:val="20"/>
              </w:rPr>
            </w:pPr>
          </w:p>
          <w:p w14:paraId="36245DFC" w14:textId="77777777" w:rsidR="006F6314" w:rsidRDefault="006F6314" w:rsidP="002E3491">
            <w:pPr>
              <w:rPr>
                <w:sz w:val="20"/>
                <w:szCs w:val="20"/>
              </w:rPr>
            </w:pPr>
          </w:p>
          <w:p w14:paraId="5B21A724" w14:textId="77777777" w:rsidR="006F6314" w:rsidRDefault="006F6314" w:rsidP="002E3491">
            <w:pPr>
              <w:rPr>
                <w:sz w:val="20"/>
                <w:szCs w:val="20"/>
              </w:rPr>
            </w:pPr>
          </w:p>
          <w:p w14:paraId="0CB908AA" w14:textId="3FE8A57E" w:rsidR="006F6314" w:rsidRPr="002E3491" w:rsidRDefault="006F6314" w:rsidP="002E3491">
            <w:pPr>
              <w:rPr>
                <w:sz w:val="20"/>
                <w:szCs w:val="20"/>
              </w:rPr>
            </w:pPr>
          </w:p>
        </w:tc>
        <w:tc>
          <w:tcPr>
            <w:tcW w:w="3150" w:type="dxa"/>
          </w:tcPr>
          <w:p w14:paraId="41EBB94F" w14:textId="77777777" w:rsidR="00BE0EB2" w:rsidRDefault="00BE0EB2" w:rsidP="47862355">
            <w:pPr>
              <w:rPr>
                <w:b/>
                <w:bCs/>
                <w:sz w:val="20"/>
                <w:szCs w:val="20"/>
              </w:rPr>
            </w:pPr>
          </w:p>
        </w:tc>
        <w:tc>
          <w:tcPr>
            <w:tcW w:w="3060" w:type="dxa"/>
          </w:tcPr>
          <w:p w14:paraId="318E15D6" w14:textId="71D0F95D" w:rsidR="00BE0EB2" w:rsidRPr="00FA572F" w:rsidRDefault="00BE0EB2" w:rsidP="47862355">
            <w:pPr>
              <w:rPr>
                <w:b/>
                <w:bCs/>
                <w:sz w:val="20"/>
                <w:szCs w:val="20"/>
              </w:rPr>
            </w:pPr>
          </w:p>
        </w:tc>
      </w:tr>
      <w:tr w:rsidR="00BE0EB2" w14:paraId="2BF3545F" w14:textId="77777777" w:rsidTr="008123D2">
        <w:tc>
          <w:tcPr>
            <w:tcW w:w="1619" w:type="dxa"/>
            <w:vMerge w:val="restart"/>
            <w:shd w:val="clear" w:color="auto" w:fill="FFD966" w:themeFill="accent4" w:themeFillTint="99"/>
          </w:tcPr>
          <w:p w14:paraId="442A40D2" w14:textId="02D4B584" w:rsidR="00BE0EB2" w:rsidRPr="00FA572F" w:rsidRDefault="00BE0EB2" w:rsidP="009047F0">
            <w:pPr>
              <w:rPr>
                <w:b/>
                <w:sz w:val="20"/>
                <w:szCs w:val="20"/>
              </w:rPr>
            </w:pPr>
            <w:r>
              <w:rPr>
                <w:b/>
                <w:sz w:val="20"/>
                <w:szCs w:val="20"/>
              </w:rPr>
              <w:lastRenderedPageBreak/>
              <w:t xml:space="preserve">IV. Leveraging Students’ Assets </w:t>
            </w:r>
          </w:p>
        </w:tc>
        <w:tc>
          <w:tcPr>
            <w:tcW w:w="7291" w:type="dxa"/>
          </w:tcPr>
          <w:p w14:paraId="73FA3D2F" w14:textId="524A4E36" w:rsidR="00BE0EB2" w:rsidRDefault="00BE0EB2" w:rsidP="54904D6E">
            <w:pPr>
              <w:rPr>
                <w:sz w:val="20"/>
                <w:szCs w:val="20"/>
              </w:rPr>
            </w:pPr>
            <w:r w:rsidRPr="54904D6E">
              <w:rPr>
                <w:sz w:val="20"/>
                <w:szCs w:val="20"/>
              </w:rPr>
              <w:t>10. Materials reflect an asset-base</w:t>
            </w:r>
            <w:r w:rsidR="008123D2">
              <w:rPr>
                <w:sz w:val="20"/>
                <w:szCs w:val="20"/>
              </w:rPr>
              <w:t>d</w:t>
            </w:r>
            <w:r w:rsidRPr="54904D6E">
              <w:rPr>
                <w:sz w:val="20"/>
                <w:szCs w:val="20"/>
              </w:rPr>
              <w:t xml:space="preserve"> model of teaching and learning, and provide guidance for creating instructional opportunities that reflect that perspective.</w:t>
            </w:r>
          </w:p>
          <w:p w14:paraId="29AE3D72" w14:textId="3F8AEB20" w:rsidR="00BE0EB2" w:rsidRDefault="00BE0EB2" w:rsidP="00917001">
            <w:pPr>
              <w:pStyle w:val="ListParagraph"/>
              <w:numPr>
                <w:ilvl w:val="0"/>
                <w:numId w:val="14"/>
              </w:numPr>
              <w:rPr>
                <w:sz w:val="20"/>
                <w:szCs w:val="20"/>
              </w:rPr>
            </w:pPr>
            <w:r>
              <w:rPr>
                <w:sz w:val="20"/>
                <w:szCs w:val="20"/>
              </w:rPr>
              <w:t>Materials provide diverse perspectives and suggestions for culturally responsive teaching methods</w:t>
            </w:r>
          </w:p>
          <w:p w14:paraId="59FBD05D" w14:textId="77777777" w:rsidR="00BE0EB2" w:rsidRDefault="00BE0EB2" w:rsidP="00917001">
            <w:pPr>
              <w:pStyle w:val="ListParagraph"/>
              <w:numPr>
                <w:ilvl w:val="0"/>
                <w:numId w:val="14"/>
              </w:numPr>
              <w:rPr>
                <w:sz w:val="20"/>
                <w:szCs w:val="20"/>
              </w:rPr>
            </w:pPr>
            <w:r>
              <w:rPr>
                <w:sz w:val="20"/>
                <w:szCs w:val="20"/>
              </w:rPr>
              <w:t>Incorporates cultural knowledge and student interest</w:t>
            </w:r>
          </w:p>
          <w:p w14:paraId="73FE7DFD" w14:textId="77777777" w:rsidR="00BE0EB2" w:rsidRDefault="00BE0EB2" w:rsidP="00917001">
            <w:pPr>
              <w:pStyle w:val="ListParagraph"/>
              <w:numPr>
                <w:ilvl w:val="0"/>
                <w:numId w:val="14"/>
              </w:numPr>
              <w:rPr>
                <w:sz w:val="20"/>
                <w:szCs w:val="20"/>
              </w:rPr>
            </w:pPr>
            <w:r>
              <w:rPr>
                <w:sz w:val="20"/>
                <w:szCs w:val="20"/>
              </w:rPr>
              <w:t xml:space="preserve">Home language use in oral activities </w:t>
            </w:r>
          </w:p>
          <w:p w14:paraId="24058564" w14:textId="6FBB0011" w:rsidR="006F6314" w:rsidRPr="006F6314" w:rsidRDefault="006F6314" w:rsidP="006F6314">
            <w:pPr>
              <w:rPr>
                <w:sz w:val="20"/>
                <w:szCs w:val="20"/>
              </w:rPr>
            </w:pPr>
          </w:p>
        </w:tc>
        <w:tc>
          <w:tcPr>
            <w:tcW w:w="3150" w:type="dxa"/>
          </w:tcPr>
          <w:p w14:paraId="35E38372" w14:textId="77777777" w:rsidR="00BE0EB2" w:rsidRDefault="00BE0EB2" w:rsidP="47862355">
            <w:pPr>
              <w:rPr>
                <w:b/>
                <w:bCs/>
                <w:sz w:val="20"/>
                <w:szCs w:val="20"/>
              </w:rPr>
            </w:pPr>
          </w:p>
        </w:tc>
        <w:tc>
          <w:tcPr>
            <w:tcW w:w="3060" w:type="dxa"/>
          </w:tcPr>
          <w:p w14:paraId="02DB23A6" w14:textId="08E5C55B" w:rsidR="00BE0EB2" w:rsidRPr="00FA572F" w:rsidRDefault="00BE0EB2" w:rsidP="47862355">
            <w:pPr>
              <w:rPr>
                <w:b/>
                <w:bCs/>
                <w:sz w:val="20"/>
                <w:szCs w:val="20"/>
              </w:rPr>
            </w:pPr>
          </w:p>
        </w:tc>
      </w:tr>
      <w:tr w:rsidR="00BE0EB2" w14:paraId="7E3169DF" w14:textId="77777777" w:rsidTr="008123D2">
        <w:tc>
          <w:tcPr>
            <w:tcW w:w="1619" w:type="dxa"/>
            <w:vMerge/>
          </w:tcPr>
          <w:p w14:paraId="36738CA4" w14:textId="0AE60F71" w:rsidR="00BE0EB2" w:rsidRPr="00FA572F" w:rsidRDefault="00BE0EB2" w:rsidP="000E0241">
            <w:pPr>
              <w:rPr>
                <w:b/>
                <w:sz w:val="20"/>
                <w:szCs w:val="20"/>
              </w:rPr>
            </w:pPr>
          </w:p>
        </w:tc>
        <w:tc>
          <w:tcPr>
            <w:tcW w:w="7291" w:type="dxa"/>
          </w:tcPr>
          <w:p w14:paraId="4B87195F" w14:textId="39DCE91D" w:rsidR="00BE0EB2" w:rsidRDefault="00BE0EB2" w:rsidP="000E0241">
            <w:pPr>
              <w:rPr>
                <w:sz w:val="20"/>
                <w:szCs w:val="20"/>
              </w:rPr>
            </w:pPr>
            <w:r>
              <w:rPr>
                <w:sz w:val="20"/>
                <w:szCs w:val="20"/>
              </w:rPr>
              <w:t>11. Materials recognize students’ background knowledge and interests and endeavor to activate them for disciplinary learning through authentic and relevant texts</w:t>
            </w:r>
            <w:r w:rsidR="008123D2">
              <w:rPr>
                <w:sz w:val="20"/>
                <w:szCs w:val="20"/>
              </w:rPr>
              <w:t>.</w:t>
            </w:r>
          </w:p>
          <w:p w14:paraId="2BDF404F" w14:textId="77777777" w:rsidR="006F6314" w:rsidRDefault="006F6314" w:rsidP="000E0241">
            <w:pPr>
              <w:rPr>
                <w:sz w:val="20"/>
                <w:szCs w:val="20"/>
              </w:rPr>
            </w:pPr>
          </w:p>
          <w:p w14:paraId="09E75256" w14:textId="18E532EC" w:rsidR="006F6314" w:rsidRPr="00FA572F" w:rsidRDefault="006F6314" w:rsidP="000E0241">
            <w:pPr>
              <w:rPr>
                <w:sz w:val="20"/>
                <w:szCs w:val="20"/>
              </w:rPr>
            </w:pPr>
          </w:p>
        </w:tc>
        <w:tc>
          <w:tcPr>
            <w:tcW w:w="3150" w:type="dxa"/>
          </w:tcPr>
          <w:p w14:paraId="6856BAB9" w14:textId="77777777" w:rsidR="00BE0EB2" w:rsidRDefault="00BE0EB2" w:rsidP="000E0241">
            <w:pPr>
              <w:rPr>
                <w:b/>
                <w:bCs/>
                <w:sz w:val="20"/>
                <w:szCs w:val="20"/>
              </w:rPr>
            </w:pPr>
          </w:p>
        </w:tc>
        <w:tc>
          <w:tcPr>
            <w:tcW w:w="3060" w:type="dxa"/>
          </w:tcPr>
          <w:p w14:paraId="0A4E7028" w14:textId="04E60F4E" w:rsidR="00BE0EB2" w:rsidRPr="00FA572F" w:rsidRDefault="00BE0EB2" w:rsidP="000E0241">
            <w:pPr>
              <w:rPr>
                <w:b/>
                <w:bCs/>
                <w:sz w:val="20"/>
                <w:szCs w:val="20"/>
              </w:rPr>
            </w:pPr>
          </w:p>
        </w:tc>
      </w:tr>
      <w:tr w:rsidR="00BE0EB2" w14:paraId="12B5CD38" w14:textId="77777777" w:rsidTr="008123D2">
        <w:tc>
          <w:tcPr>
            <w:tcW w:w="1619" w:type="dxa"/>
            <w:vMerge/>
          </w:tcPr>
          <w:p w14:paraId="0A75A147" w14:textId="77777777" w:rsidR="00BE0EB2" w:rsidRPr="00FA572F" w:rsidRDefault="00BE0EB2" w:rsidP="000E0241">
            <w:pPr>
              <w:rPr>
                <w:b/>
                <w:sz w:val="20"/>
                <w:szCs w:val="20"/>
              </w:rPr>
            </w:pPr>
          </w:p>
        </w:tc>
        <w:tc>
          <w:tcPr>
            <w:tcW w:w="7291" w:type="dxa"/>
          </w:tcPr>
          <w:p w14:paraId="0137C106" w14:textId="6AE7CB02" w:rsidR="00BE0EB2" w:rsidRDefault="00BE0EB2" w:rsidP="54904D6E">
            <w:pPr>
              <w:rPr>
                <w:sz w:val="20"/>
                <w:szCs w:val="20"/>
              </w:rPr>
            </w:pPr>
            <w:r w:rsidRPr="54904D6E">
              <w:rPr>
                <w:sz w:val="20"/>
                <w:szCs w:val="20"/>
              </w:rPr>
              <w:t>12. Materials guide teachers in how to value home language(s) as a resource for learning content</w:t>
            </w:r>
            <w:r w:rsidR="008123D2">
              <w:rPr>
                <w:sz w:val="20"/>
                <w:szCs w:val="20"/>
              </w:rPr>
              <w:t>.</w:t>
            </w:r>
          </w:p>
          <w:p w14:paraId="15CD3456" w14:textId="6D1C475D" w:rsidR="00BE0EB2" w:rsidRDefault="00BE0EB2" w:rsidP="00917001">
            <w:pPr>
              <w:pStyle w:val="ListParagraph"/>
              <w:numPr>
                <w:ilvl w:val="0"/>
                <w:numId w:val="15"/>
              </w:numPr>
              <w:rPr>
                <w:sz w:val="20"/>
                <w:szCs w:val="20"/>
              </w:rPr>
            </w:pPr>
            <w:r>
              <w:rPr>
                <w:sz w:val="20"/>
                <w:szCs w:val="20"/>
              </w:rPr>
              <w:t>Home language literacy is used as a bridge</w:t>
            </w:r>
            <w:r w:rsidR="008123D2">
              <w:rPr>
                <w:sz w:val="20"/>
                <w:szCs w:val="20"/>
              </w:rPr>
              <w:t>.</w:t>
            </w:r>
          </w:p>
          <w:p w14:paraId="5DB8E966" w14:textId="73DE5E14" w:rsidR="00BE0EB2" w:rsidRPr="00917001" w:rsidRDefault="00BE0EB2" w:rsidP="54904D6E">
            <w:pPr>
              <w:pStyle w:val="ListParagraph"/>
              <w:numPr>
                <w:ilvl w:val="0"/>
                <w:numId w:val="15"/>
              </w:numPr>
              <w:rPr>
                <w:sz w:val="20"/>
                <w:szCs w:val="20"/>
              </w:rPr>
            </w:pPr>
            <w:r w:rsidRPr="54904D6E">
              <w:rPr>
                <w:sz w:val="20"/>
                <w:szCs w:val="20"/>
              </w:rPr>
              <w:t>Materials support teachers in gathering information about family language and literacy</w:t>
            </w:r>
            <w:r w:rsidR="008123D2">
              <w:rPr>
                <w:sz w:val="20"/>
                <w:szCs w:val="20"/>
              </w:rPr>
              <w:t>.</w:t>
            </w:r>
          </w:p>
        </w:tc>
        <w:tc>
          <w:tcPr>
            <w:tcW w:w="3150" w:type="dxa"/>
          </w:tcPr>
          <w:p w14:paraId="7DC1B203" w14:textId="77777777" w:rsidR="00BE0EB2" w:rsidRDefault="00BE0EB2" w:rsidP="000E0241">
            <w:pPr>
              <w:rPr>
                <w:b/>
                <w:bCs/>
                <w:sz w:val="20"/>
                <w:szCs w:val="20"/>
              </w:rPr>
            </w:pPr>
          </w:p>
        </w:tc>
        <w:tc>
          <w:tcPr>
            <w:tcW w:w="3060" w:type="dxa"/>
          </w:tcPr>
          <w:p w14:paraId="19DEC845" w14:textId="066C542E" w:rsidR="00BE0EB2" w:rsidRPr="00FA572F" w:rsidRDefault="00BE0EB2" w:rsidP="000E0241">
            <w:pPr>
              <w:rPr>
                <w:b/>
                <w:bCs/>
                <w:sz w:val="20"/>
                <w:szCs w:val="20"/>
              </w:rPr>
            </w:pPr>
          </w:p>
        </w:tc>
      </w:tr>
      <w:tr w:rsidR="00BE0EB2" w14:paraId="2B3D69D0" w14:textId="77777777" w:rsidTr="008123D2">
        <w:tc>
          <w:tcPr>
            <w:tcW w:w="1619" w:type="dxa"/>
            <w:vMerge/>
          </w:tcPr>
          <w:p w14:paraId="4E1DBE62" w14:textId="70DF82E6" w:rsidR="00BE0EB2" w:rsidRPr="00FA572F" w:rsidRDefault="00BE0EB2" w:rsidP="000E0241">
            <w:pPr>
              <w:rPr>
                <w:b/>
                <w:sz w:val="20"/>
                <w:szCs w:val="20"/>
              </w:rPr>
            </w:pPr>
          </w:p>
        </w:tc>
        <w:tc>
          <w:tcPr>
            <w:tcW w:w="7291" w:type="dxa"/>
          </w:tcPr>
          <w:p w14:paraId="016746B9" w14:textId="63D7A8BB" w:rsidR="00BE0EB2" w:rsidRDefault="00BE0EB2" w:rsidP="00917001">
            <w:pPr>
              <w:rPr>
                <w:sz w:val="20"/>
                <w:szCs w:val="20"/>
              </w:rPr>
            </w:pPr>
            <w:r>
              <w:rPr>
                <w:sz w:val="20"/>
                <w:szCs w:val="20"/>
              </w:rPr>
              <w:t xml:space="preserve">13. Materials for teachers provide guidance for instructional practices that promote student agency and learner autonomy. </w:t>
            </w:r>
            <w:r w:rsidRPr="00917001">
              <w:rPr>
                <w:sz w:val="20"/>
                <w:szCs w:val="20"/>
              </w:rPr>
              <w:t>Scaffolds are taken away as student</w:t>
            </w:r>
            <w:r w:rsidR="00443CED">
              <w:rPr>
                <w:sz w:val="20"/>
                <w:szCs w:val="20"/>
              </w:rPr>
              <w:t xml:space="preserve">s </w:t>
            </w:r>
            <w:r w:rsidRPr="00917001">
              <w:rPr>
                <w:sz w:val="20"/>
                <w:szCs w:val="20"/>
              </w:rPr>
              <w:t>demonstrate increasing independence</w:t>
            </w:r>
            <w:r>
              <w:rPr>
                <w:sz w:val="20"/>
                <w:szCs w:val="20"/>
              </w:rPr>
              <w:t>.</w:t>
            </w:r>
            <w:r w:rsidRPr="00917001">
              <w:rPr>
                <w:sz w:val="20"/>
                <w:szCs w:val="20"/>
              </w:rPr>
              <w:t xml:space="preserve"> </w:t>
            </w:r>
          </w:p>
          <w:p w14:paraId="096ED699" w14:textId="77777777" w:rsidR="006F6314" w:rsidRDefault="006F6314" w:rsidP="00917001">
            <w:pPr>
              <w:rPr>
                <w:sz w:val="20"/>
                <w:szCs w:val="20"/>
              </w:rPr>
            </w:pPr>
          </w:p>
          <w:p w14:paraId="661DA697" w14:textId="7210CBFE" w:rsidR="006F6314" w:rsidRPr="00917001" w:rsidRDefault="006F6314" w:rsidP="00917001">
            <w:pPr>
              <w:rPr>
                <w:sz w:val="20"/>
                <w:szCs w:val="20"/>
              </w:rPr>
            </w:pPr>
          </w:p>
        </w:tc>
        <w:tc>
          <w:tcPr>
            <w:tcW w:w="3150" w:type="dxa"/>
          </w:tcPr>
          <w:p w14:paraId="101AD38C" w14:textId="77777777" w:rsidR="00BE0EB2" w:rsidRDefault="00BE0EB2" w:rsidP="000E0241">
            <w:pPr>
              <w:rPr>
                <w:b/>
                <w:bCs/>
                <w:sz w:val="20"/>
                <w:szCs w:val="20"/>
              </w:rPr>
            </w:pPr>
          </w:p>
        </w:tc>
        <w:tc>
          <w:tcPr>
            <w:tcW w:w="3060" w:type="dxa"/>
          </w:tcPr>
          <w:p w14:paraId="1A8CEBC3" w14:textId="6F40077E" w:rsidR="00BE0EB2" w:rsidRPr="00FA572F" w:rsidRDefault="00BE0EB2" w:rsidP="000E0241">
            <w:pPr>
              <w:rPr>
                <w:b/>
                <w:bCs/>
                <w:sz w:val="20"/>
                <w:szCs w:val="20"/>
              </w:rPr>
            </w:pPr>
          </w:p>
        </w:tc>
      </w:tr>
      <w:tr w:rsidR="00E86CEB" w14:paraId="10214A81" w14:textId="77777777" w:rsidTr="008123D2">
        <w:tc>
          <w:tcPr>
            <w:tcW w:w="1619" w:type="dxa"/>
            <w:shd w:val="clear" w:color="auto" w:fill="8496B0" w:themeFill="text2" w:themeFillTint="99"/>
          </w:tcPr>
          <w:p w14:paraId="0FBE108B" w14:textId="132F9C85" w:rsidR="00E86CEB" w:rsidRPr="00FA572F" w:rsidRDefault="00E86CEB" w:rsidP="000E0241">
            <w:pPr>
              <w:rPr>
                <w:b/>
                <w:sz w:val="20"/>
                <w:szCs w:val="20"/>
              </w:rPr>
            </w:pPr>
            <w:r>
              <w:rPr>
                <w:b/>
                <w:sz w:val="20"/>
                <w:szCs w:val="20"/>
              </w:rPr>
              <w:t>V. Formative Assessment</w:t>
            </w:r>
          </w:p>
        </w:tc>
        <w:tc>
          <w:tcPr>
            <w:tcW w:w="7291" w:type="dxa"/>
          </w:tcPr>
          <w:p w14:paraId="0D5FAB80" w14:textId="34CC0998" w:rsidR="00E86CEB" w:rsidRDefault="00E86CEB" w:rsidP="000E0241">
            <w:pPr>
              <w:rPr>
                <w:sz w:val="20"/>
                <w:szCs w:val="20"/>
              </w:rPr>
            </w:pPr>
            <w:r>
              <w:rPr>
                <w:sz w:val="20"/>
                <w:szCs w:val="20"/>
              </w:rPr>
              <w:t>14. Materials provide teacher guidance for consistent formative assessment and feedback strategies that support students’ language proficiencies and content knowledge</w:t>
            </w:r>
            <w:r w:rsidR="008123D2">
              <w:rPr>
                <w:sz w:val="20"/>
                <w:szCs w:val="20"/>
              </w:rPr>
              <w:t>.</w:t>
            </w:r>
          </w:p>
          <w:p w14:paraId="7E40199B" w14:textId="100090A4" w:rsidR="00E86CEB" w:rsidRDefault="00E86CEB" w:rsidP="00917001">
            <w:pPr>
              <w:pStyle w:val="ListParagraph"/>
              <w:numPr>
                <w:ilvl w:val="0"/>
                <w:numId w:val="17"/>
              </w:numPr>
              <w:rPr>
                <w:sz w:val="20"/>
                <w:szCs w:val="20"/>
              </w:rPr>
            </w:pPr>
            <w:r>
              <w:rPr>
                <w:sz w:val="20"/>
                <w:szCs w:val="20"/>
              </w:rPr>
              <w:t>Assess and provide feedback on oral and written language separate from content knowledge and disciplinary practices</w:t>
            </w:r>
            <w:r w:rsidR="008123D2">
              <w:rPr>
                <w:sz w:val="20"/>
                <w:szCs w:val="20"/>
              </w:rPr>
              <w:t>.</w:t>
            </w:r>
          </w:p>
          <w:p w14:paraId="636A99E7" w14:textId="6AA5889A" w:rsidR="00E86CEB" w:rsidRDefault="00E86CEB" w:rsidP="00917001">
            <w:pPr>
              <w:pStyle w:val="ListParagraph"/>
              <w:numPr>
                <w:ilvl w:val="0"/>
                <w:numId w:val="17"/>
              </w:numPr>
              <w:rPr>
                <w:sz w:val="20"/>
                <w:szCs w:val="20"/>
              </w:rPr>
            </w:pPr>
            <w:r>
              <w:rPr>
                <w:sz w:val="20"/>
                <w:szCs w:val="20"/>
              </w:rPr>
              <w:t>Materials provide teachers guidance to avoid assumptions about a student’s background knowledge and language resources based on language proficiency scores or grades</w:t>
            </w:r>
            <w:r w:rsidR="008123D2">
              <w:rPr>
                <w:sz w:val="20"/>
                <w:szCs w:val="20"/>
              </w:rPr>
              <w:t>.</w:t>
            </w:r>
          </w:p>
          <w:p w14:paraId="098D53C8" w14:textId="2F7CD7AB" w:rsidR="006F6314" w:rsidRPr="006F6314" w:rsidRDefault="006F6314" w:rsidP="006F6314">
            <w:pPr>
              <w:rPr>
                <w:sz w:val="20"/>
                <w:szCs w:val="20"/>
              </w:rPr>
            </w:pPr>
          </w:p>
        </w:tc>
        <w:tc>
          <w:tcPr>
            <w:tcW w:w="3150" w:type="dxa"/>
          </w:tcPr>
          <w:p w14:paraId="31EBC651" w14:textId="77777777" w:rsidR="00E86CEB" w:rsidRPr="4DAB1033" w:rsidRDefault="00E86CEB" w:rsidP="4DAB1033">
            <w:pPr>
              <w:rPr>
                <w:b/>
                <w:bCs/>
                <w:sz w:val="20"/>
                <w:szCs w:val="20"/>
              </w:rPr>
            </w:pPr>
          </w:p>
        </w:tc>
        <w:tc>
          <w:tcPr>
            <w:tcW w:w="3060" w:type="dxa"/>
          </w:tcPr>
          <w:p w14:paraId="0DD3C460" w14:textId="5DADCA8A" w:rsidR="00E86CEB" w:rsidRPr="00FA572F" w:rsidRDefault="00E86CEB" w:rsidP="4DAB1033">
            <w:pPr>
              <w:rPr>
                <w:b/>
                <w:bCs/>
                <w:sz w:val="20"/>
                <w:szCs w:val="20"/>
              </w:rPr>
            </w:pPr>
          </w:p>
        </w:tc>
      </w:tr>
    </w:tbl>
    <w:p w14:paraId="0B7954E9" w14:textId="4E379306" w:rsidR="00D77A2A" w:rsidRDefault="00D77A2A" w:rsidP="009047F0">
      <w:pPr>
        <w:spacing w:after="0"/>
        <w:rPr>
          <w:sz w:val="24"/>
          <w:szCs w:val="24"/>
        </w:rPr>
      </w:pPr>
    </w:p>
    <w:p w14:paraId="45102DB0" w14:textId="1C15A429" w:rsidR="009914AF" w:rsidRPr="009914AF" w:rsidRDefault="009914AF" w:rsidP="009047F0">
      <w:pPr>
        <w:spacing w:after="0"/>
        <w:rPr>
          <w:sz w:val="20"/>
          <w:szCs w:val="20"/>
        </w:rPr>
      </w:pPr>
      <w:r w:rsidRPr="009914AF">
        <w:rPr>
          <w:sz w:val="20"/>
          <w:szCs w:val="20"/>
        </w:rPr>
        <w:t xml:space="preserve">Adapted from English Learners Success Forum: </w:t>
      </w:r>
      <w:hyperlink r:id="rId10" w:history="1">
        <w:r w:rsidRPr="009914AF">
          <w:rPr>
            <w:rStyle w:val="Hyperlink"/>
            <w:sz w:val="20"/>
            <w:szCs w:val="20"/>
          </w:rPr>
          <w:t>Guidelines for Improving E</w:t>
        </w:r>
        <w:r>
          <w:rPr>
            <w:rStyle w:val="Hyperlink"/>
            <w:sz w:val="20"/>
            <w:szCs w:val="20"/>
          </w:rPr>
          <w:t>nglish Language Arts Materials f</w:t>
        </w:r>
        <w:r w:rsidRPr="009914AF">
          <w:rPr>
            <w:rStyle w:val="Hyperlink"/>
            <w:sz w:val="20"/>
            <w:szCs w:val="20"/>
          </w:rPr>
          <w:t>or English Learners</w:t>
        </w:r>
      </w:hyperlink>
    </w:p>
    <w:sectPr w:rsidR="009914AF" w:rsidRPr="009914AF" w:rsidSect="00E86CEB">
      <w:headerReference w:type="default" r:id="rId11"/>
      <w:pgSz w:w="15840" w:h="12240" w:orient="landscape"/>
      <w:pgMar w:top="720" w:right="432"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2122C" w14:textId="77777777" w:rsidR="00E15893" w:rsidRDefault="00E15893" w:rsidP="009914AF">
      <w:pPr>
        <w:spacing w:after="0" w:line="240" w:lineRule="auto"/>
      </w:pPr>
      <w:r>
        <w:separator/>
      </w:r>
    </w:p>
  </w:endnote>
  <w:endnote w:type="continuationSeparator" w:id="0">
    <w:p w14:paraId="5F922927" w14:textId="77777777" w:rsidR="00E15893" w:rsidRDefault="00E15893" w:rsidP="00991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F4567" w14:textId="77777777" w:rsidR="00E15893" w:rsidRDefault="00E15893" w:rsidP="009914AF">
      <w:pPr>
        <w:spacing w:after="0" w:line="240" w:lineRule="auto"/>
      </w:pPr>
      <w:r>
        <w:separator/>
      </w:r>
    </w:p>
  </w:footnote>
  <w:footnote w:type="continuationSeparator" w:id="0">
    <w:p w14:paraId="6CC93A03" w14:textId="77777777" w:rsidR="00E15893" w:rsidRDefault="00E15893" w:rsidP="00991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96AA" w14:textId="5B0CF6DD" w:rsidR="009914AF" w:rsidRDefault="00CE7C0F">
    <w:pPr>
      <w:pStyle w:val="Header"/>
    </w:pPr>
    <w:r>
      <w:rPr>
        <w:noProof/>
      </w:rPr>
      <w:drawing>
        <wp:inline distT="0" distB="0" distL="0" distR="0" wp14:anchorId="1B676111" wp14:editId="6803886A">
          <wp:extent cx="1272208" cy="307453"/>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6-23 at 5.19.11 PM.png"/>
                  <pic:cNvPicPr/>
                </pic:nvPicPr>
                <pic:blipFill rotWithShape="1">
                  <a:blip r:embed="rId1">
                    <a:extLst>
                      <a:ext uri="{28A0092B-C50C-407E-A947-70E740481C1C}">
                        <a14:useLocalDpi xmlns:a14="http://schemas.microsoft.com/office/drawing/2010/main" val="0"/>
                      </a:ext>
                    </a:extLst>
                  </a:blip>
                  <a:srcRect l="1184" t="5002" b="-1"/>
                  <a:stretch/>
                </pic:blipFill>
                <pic:spPr bwMode="auto">
                  <a:xfrm>
                    <a:off x="0" y="0"/>
                    <a:ext cx="1313242" cy="31737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06FA"/>
    <w:multiLevelType w:val="hybridMultilevel"/>
    <w:tmpl w:val="9496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80C81"/>
    <w:multiLevelType w:val="hybridMultilevel"/>
    <w:tmpl w:val="A676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64B07"/>
    <w:multiLevelType w:val="hybridMultilevel"/>
    <w:tmpl w:val="60FAD77E"/>
    <w:lvl w:ilvl="0" w:tplc="3AB0EC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20D97"/>
    <w:multiLevelType w:val="hybridMultilevel"/>
    <w:tmpl w:val="1A38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321C7"/>
    <w:multiLevelType w:val="hybridMultilevel"/>
    <w:tmpl w:val="2E26B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CD2CD2"/>
    <w:multiLevelType w:val="hybridMultilevel"/>
    <w:tmpl w:val="55A4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4C65FE"/>
    <w:multiLevelType w:val="hybridMultilevel"/>
    <w:tmpl w:val="09F8BFB4"/>
    <w:lvl w:ilvl="0" w:tplc="C42410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DE0E3A"/>
    <w:multiLevelType w:val="hybridMultilevel"/>
    <w:tmpl w:val="E484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44755B"/>
    <w:multiLevelType w:val="hybridMultilevel"/>
    <w:tmpl w:val="0B8E8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F41266"/>
    <w:multiLevelType w:val="hybridMultilevel"/>
    <w:tmpl w:val="E9C8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251D2C"/>
    <w:multiLevelType w:val="hybridMultilevel"/>
    <w:tmpl w:val="AAAAE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F31705"/>
    <w:multiLevelType w:val="hybridMultilevel"/>
    <w:tmpl w:val="988A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0E7CB6"/>
    <w:multiLevelType w:val="hybridMultilevel"/>
    <w:tmpl w:val="3A66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4E7727"/>
    <w:multiLevelType w:val="hybridMultilevel"/>
    <w:tmpl w:val="D8DE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093B33"/>
    <w:multiLevelType w:val="hybridMultilevel"/>
    <w:tmpl w:val="AC7E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EB43EC"/>
    <w:multiLevelType w:val="hybridMultilevel"/>
    <w:tmpl w:val="13143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912DA1"/>
    <w:multiLevelType w:val="hybridMultilevel"/>
    <w:tmpl w:val="75408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8973745">
    <w:abstractNumId w:val="3"/>
  </w:num>
  <w:num w:numId="2" w16cid:durableId="774863829">
    <w:abstractNumId w:val="2"/>
  </w:num>
  <w:num w:numId="3" w16cid:durableId="100760942">
    <w:abstractNumId w:val="6"/>
  </w:num>
  <w:num w:numId="4" w16cid:durableId="806169284">
    <w:abstractNumId w:val="1"/>
  </w:num>
  <w:num w:numId="5" w16cid:durableId="2112970922">
    <w:abstractNumId w:val="4"/>
  </w:num>
  <w:num w:numId="6" w16cid:durableId="59796269">
    <w:abstractNumId w:val="11"/>
  </w:num>
  <w:num w:numId="7" w16cid:durableId="71239545">
    <w:abstractNumId w:val="15"/>
  </w:num>
  <w:num w:numId="8" w16cid:durableId="1689870416">
    <w:abstractNumId w:val="5"/>
  </w:num>
  <w:num w:numId="9" w16cid:durableId="1218787050">
    <w:abstractNumId w:val="8"/>
  </w:num>
  <w:num w:numId="10" w16cid:durableId="1978874873">
    <w:abstractNumId w:val="16"/>
  </w:num>
  <w:num w:numId="11" w16cid:durableId="1094202080">
    <w:abstractNumId w:val="0"/>
  </w:num>
  <w:num w:numId="12" w16cid:durableId="2045787448">
    <w:abstractNumId w:val="13"/>
  </w:num>
  <w:num w:numId="13" w16cid:durableId="151259848">
    <w:abstractNumId w:val="12"/>
  </w:num>
  <w:num w:numId="14" w16cid:durableId="868298598">
    <w:abstractNumId w:val="14"/>
  </w:num>
  <w:num w:numId="15" w16cid:durableId="2106611916">
    <w:abstractNumId w:val="9"/>
  </w:num>
  <w:num w:numId="16" w16cid:durableId="1828548695">
    <w:abstractNumId w:val="7"/>
  </w:num>
  <w:num w:numId="17" w16cid:durableId="16184398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D007198"/>
    <w:rsid w:val="00000884"/>
    <w:rsid w:val="000957A0"/>
    <w:rsid w:val="000E0241"/>
    <w:rsid w:val="0014239B"/>
    <w:rsid w:val="00190900"/>
    <w:rsid w:val="001F2825"/>
    <w:rsid w:val="002E3491"/>
    <w:rsid w:val="00322CD5"/>
    <w:rsid w:val="00351676"/>
    <w:rsid w:val="00437236"/>
    <w:rsid w:val="00443CED"/>
    <w:rsid w:val="004C0B70"/>
    <w:rsid w:val="0056159B"/>
    <w:rsid w:val="00596BF8"/>
    <w:rsid w:val="005B52D5"/>
    <w:rsid w:val="00672A24"/>
    <w:rsid w:val="006B3F4C"/>
    <w:rsid w:val="006F6314"/>
    <w:rsid w:val="007760A5"/>
    <w:rsid w:val="007C012A"/>
    <w:rsid w:val="007D62BA"/>
    <w:rsid w:val="008123D2"/>
    <w:rsid w:val="00817AA7"/>
    <w:rsid w:val="008C6926"/>
    <w:rsid w:val="009047F0"/>
    <w:rsid w:val="00917001"/>
    <w:rsid w:val="00981099"/>
    <w:rsid w:val="009914AF"/>
    <w:rsid w:val="00A66D9B"/>
    <w:rsid w:val="00AF7515"/>
    <w:rsid w:val="00B64F05"/>
    <w:rsid w:val="00B9766D"/>
    <w:rsid w:val="00BE0EB2"/>
    <w:rsid w:val="00CE7C0F"/>
    <w:rsid w:val="00CF468B"/>
    <w:rsid w:val="00D5215F"/>
    <w:rsid w:val="00D77A2A"/>
    <w:rsid w:val="00D9037B"/>
    <w:rsid w:val="00E15893"/>
    <w:rsid w:val="00E340DD"/>
    <w:rsid w:val="00E86CEB"/>
    <w:rsid w:val="00F96FE6"/>
    <w:rsid w:val="00FA572F"/>
    <w:rsid w:val="00FD1CD7"/>
    <w:rsid w:val="00FF0B61"/>
    <w:rsid w:val="06B7EC0E"/>
    <w:rsid w:val="0B0051FC"/>
    <w:rsid w:val="1725D78C"/>
    <w:rsid w:val="185128C6"/>
    <w:rsid w:val="2AB41696"/>
    <w:rsid w:val="31D33D1B"/>
    <w:rsid w:val="3675B8AB"/>
    <w:rsid w:val="47862355"/>
    <w:rsid w:val="4DAB1033"/>
    <w:rsid w:val="54904D6E"/>
    <w:rsid w:val="5C2DF6FB"/>
    <w:rsid w:val="6693BDDC"/>
    <w:rsid w:val="75FA28D4"/>
    <w:rsid w:val="7B3AB4BB"/>
    <w:rsid w:val="7D007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93BDDC"/>
  <w15:chartTrackingRefBased/>
  <w15:docId w15:val="{BF170945-FC05-46D0-BC77-67A7697F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7F0"/>
    <w:pPr>
      <w:ind w:left="720"/>
      <w:contextualSpacing/>
    </w:pPr>
  </w:style>
  <w:style w:type="table" w:styleId="TableGrid">
    <w:name w:val="Table Grid"/>
    <w:basedOn w:val="TableNormal"/>
    <w:uiPriority w:val="39"/>
    <w:rsid w:val="00904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159B"/>
    <w:rPr>
      <w:color w:val="0563C1" w:themeColor="hyperlink"/>
      <w:u w:val="single"/>
    </w:rPr>
  </w:style>
  <w:style w:type="paragraph" w:styleId="BalloonText">
    <w:name w:val="Balloon Text"/>
    <w:basedOn w:val="Normal"/>
    <w:link w:val="BalloonTextChar"/>
    <w:uiPriority w:val="99"/>
    <w:semiHidden/>
    <w:unhideWhenUsed/>
    <w:rsid w:val="005615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59B"/>
    <w:rPr>
      <w:rFonts w:ascii="Segoe UI" w:hAnsi="Segoe UI" w:cs="Segoe UI"/>
      <w:sz w:val="18"/>
      <w:szCs w:val="18"/>
    </w:rPr>
  </w:style>
  <w:style w:type="paragraph" w:styleId="Header">
    <w:name w:val="header"/>
    <w:basedOn w:val="Normal"/>
    <w:link w:val="HeaderChar"/>
    <w:uiPriority w:val="99"/>
    <w:unhideWhenUsed/>
    <w:rsid w:val="00991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4AF"/>
  </w:style>
  <w:style w:type="paragraph" w:styleId="Footer">
    <w:name w:val="footer"/>
    <w:basedOn w:val="Normal"/>
    <w:link w:val="FooterChar"/>
    <w:uiPriority w:val="99"/>
    <w:unhideWhenUsed/>
    <w:rsid w:val="00991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4AF"/>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elsuccessforum.org/resources"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8021E66F4ED9469B8E2B0D768E6ABA" ma:contentTypeVersion="12" ma:contentTypeDescription="Create a new document." ma:contentTypeScope="" ma:versionID="b02132002bb372f418b82221e95eba63">
  <xsd:schema xmlns:xsd="http://www.w3.org/2001/XMLSchema" xmlns:xs="http://www.w3.org/2001/XMLSchema" xmlns:p="http://schemas.microsoft.com/office/2006/metadata/properties" xmlns:ns2="e339fe60-6b46-405c-96b9-25a91f25abe1" xmlns:ns3="be0ec619-8853-4e71-9286-599a9bfcd64a" targetNamespace="http://schemas.microsoft.com/office/2006/metadata/properties" ma:root="true" ma:fieldsID="da88cb9d9b4d0152daf44a8fe73c1626" ns2:_="" ns3:_="">
    <xsd:import namespace="e339fe60-6b46-405c-96b9-25a91f25abe1"/>
    <xsd:import namespace="be0ec619-8853-4e71-9286-599a9bfcd6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39fe60-6b46-405c-96b9-25a91f25abe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0ec619-8853-4e71-9286-599a9bfcd64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e0ec619-8853-4e71-9286-599a9bfcd64a">
      <UserInfo>
        <DisplayName>Klein, Emily</DisplayName>
        <AccountId>18</AccountId>
        <AccountType/>
      </UserInfo>
      <UserInfo>
        <DisplayName>Ochs, Daniel</DisplayName>
        <AccountId>26</AccountId>
        <AccountType/>
      </UserInfo>
      <UserInfo>
        <DisplayName>Schulz, Kate</DisplayName>
        <AccountId>10</AccountId>
        <AccountType/>
      </UserInfo>
      <UserInfo>
        <DisplayName>Molea Baker, Flavia</DisplayName>
        <AccountId>29</AccountId>
        <AccountType/>
      </UserInfo>
      <UserInfo>
        <DisplayName>Gallucci, Ruth</DisplayName>
        <AccountId>71</AccountId>
        <AccountType/>
      </UserInfo>
      <UserInfo>
        <DisplayName>Karantonis, Ana</DisplayName>
        <AccountId>65</AccountId>
        <AccountType/>
      </UserInfo>
      <UserInfo>
        <DisplayName>Heineke, Heather</DisplayName>
        <AccountId>45</AccountId>
        <AccountType/>
      </UserInfo>
      <UserInfo>
        <DisplayName>O'Brien, Colleen</DisplayName>
        <AccountId>42</AccountId>
        <AccountType/>
      </UserInfo>
      <UserInfo>
        <DisplayName>Germain, Sherry</DisplayName>
        <AccountId>48</AccountId>
        <AccountType/>
      </UserInfo>
      <UserInfo>
        <DisplayName>Lynch, Phyllis</DisplayName>
        <AccountId>14</AccountId>
        <AccountType/>
      </UserInfo>
      <UserInfo>
        <DisplayName>Ayotte, Holly</DisplayName>
        <AccountId>72</AccountId>
        <AccountType/>
      </UserInfo>
      <UserInfo>
        <DisplayName>Pagliaro, Susan</DisplayName>
        <AccountId>41</AccountId>
        <AccountType/>
      </UserInfo>
      <UserInfo>
        <DisplayName>Snider, Mary Ann</DisplayName>
        <AccountId>31</AccountId>
        <AccountType/>
      </UserInfo>
      <UserInfo>
        <DisplayName>Keith, Kamlyn</DisplayName>
        <AccountId>46</AccountId>
        <AccountType/>
      </UserInfo>
      <UserInfo>
        <DisplayName>Remillard, Elaine</DisplayName>
        <AccountId>73</AccountId>
        <AccountType/>
      </UserInfo>
      <UserInfo>
        <DisplayName>Nugent, Lisa</DisplayName>
        <AccountId>17</AccountId>
        <AccountType/>
      </UserInfo>
      <UserInfo>
        <DisplayName>Castillero, Christopher</DisplayName>
        <AccountId>15</AccountId>
        <AccountType/>
      </UserInfo>
      <UserInfo>
        <DisplayName>Branco, Jacqueline</DisplayName>
        <AccountId>43</AccountId>
        <AccountType/>
      </UserInfo>
      <UserInfo>
        <DisplayName>Clark, Jodi</DisplayName>
        <AccountId>28</AccountId>
        <AccountType/>
      </UserInfo>
      <UserInfo>
        <DisplayName>McGrath, Zoe</DisplayName>
        <AccountId>47</AccountId>
        <AccountType/>
      </UserInfo>
      <UserInfo>
        <DisplayName>Escher, Erin</DisplayName>
        <AccountId>44</AccountId>
        <AccountType/>
      </UserInfo>
      <UserInfo>
        <DisplayName>Kurto, Kari</DisplayName>
        <AccountId>60</AccountId>
        <AccountType/>
      </UserInfo>
      <UserInfo>
        <DisplayName>Higgins, Carolyn</DisplayName>
        <AccountId>67</AccountId>
        <AccountType/>
      </UserInfo>
      <UserInfo>
        <DisplayName>Bennetts, John</DisplayName>
        <AccountId>61</AccountId>
        <AccountType/>
      </UserInfo>
      <UserInfo>
        <DisplayName>Hollander, Arielle</DisplayName>
        <AccountId>66</AccountId>
        <AccountType/>
      </UserInfo>
    </SharedWithUsers>
  </documentManagement>
</p:properties>
</file>

<file path=customXml/itemProps1.xml><?xml version="1.0" encoding="utf-8"?>
<ds:datastoreItem xmlns:ds="http://schemas.openxmlformats.org/officeDocument/2006/customXml" ds:itemID="{E14E3D5C-2180-4309-A3B8-A16F46D8B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39fe60-6b46-405c-96b9-25a91f25abe1"/>
    <ds:schemaRef ds:uri="be0ec619-8853-4e71-9286-599a9bfcd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ACE180-269A-49FB-A61D-D4160DA4DCFA}">
  <ds:schemaRefs>
    <ds:schemaRef ds:uri="http://schemas.microsoft.com/sharepoint/v3/contenttype/forms"/>
  </ds:schemaRefs>
</ds:datastoreItem>
</file>

<file path=customXml/itemProps3.xml><?xml version="1.0" encoding="utf-8"?>
<ds:datastoreItem xmlns:ds="http://schemas.openxmlformats.org/officeDocument/2006/customXml" ds:itemID="{EA0ACE84-79FE-43CA-9F90-8BC0B0932365}">
  <ds:schemaRefs>
    <ds:schemaRef ds:uri="http://schemas.microsoft.com/office/2006/metadata/properties"/>
    <ds:schemaRef ds:uri="http://schemas.microsoft.com/office/infopath/2007/PartnerControls"/>
    <ds:schemaRef ds:uri="be0ec619-8853-4e71-9286-599a9bfcd64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4310</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Jodi</dc:creator>
  <cp:keywords/>
  <dc:description/>
  <cp:lastModifiedBy>Higgins, Carolyn</cp:lastModifiedBy>
  <cp:revision>2</cp:revision>
  <cp:lastPrinted>2020-05-13T12:58:00Z</cp:lastPrinted>
  <dcterms:created xsi:type="dcterms:W3CDTF">2023-07-11T19:43:00Z</dcterms:created>
  <dcterms:modified xsi:type="dcterms:W3CDTF">2023-07-11T19:43:00Z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0x010100A38021E66F4ED9469B8E2B0D768E6ABA</vt:lpwstr>
  </property>
</Properties>
</file>