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A35F" w14:textId="77777777" w:rsidR="002451BF" w:rsidRDefault="002451BF" w:rsidP="002451BF"/>
    <w:p w14:paraId="18933FA4" w14:textId="77777777" w:rsidR="002451BF" w:rsidRDefault="002451BF" w:rsidP="002451BF"/>
    <w:p w14:paraId="63FD3F08" w14:textId="77777777" w:rsidR="002451BF" w:rsidRDefault="002451BF" w:rsidP="002451BF"/>
    <w:p w14:paraId="0568088D" w14:textId="77777777" w:rsidR="002451BF" w:rsidRPr="00357062" w:rsidRDefault="002451BF" w:rsidP="002451BF">
      <w:pPr>
        <w:jc w:val="center"/>
        <w:rPr>
          <w:b/>
          <w:bCs/>
          <w:color w:val="1F3864" w:themeColor="accent1" w:themeShade="80"/>
          <w:sz w:val="32"/>
          <w:szCs w:val="32"/>
        </w:rPr>
      </w:pPr>
      <w:r w:rsidRPr="00357062">
        <w:rPr>
          <w:rFonts w:ascii="Calibri" w:hAnsi="Calibri"/>
          <w:b/>
          <w:bCs/>
          <w:noProof/>
          <w:color w:val="1F3864" w:themeColor="accent1" w:themeShade="80"/>
          <w:sz w:val="32"/>
          <w:szCs w:val="32"/>
        </w:rPr>
        <w:drawing>
          <wp:anchor distT="0" distB="0" distL="114300" distR="114300" simplePos="0" relativeHeight="251659264" behindDoc="0" locked="0" layoutInCell="1" allowOverlap="1" wp14:anchorId="00081208" wp14:editId="50A87327">
            <wp:simplePos x="2400300" y="2962275"/>
            <wp:positionH relativeFrom="margin">
              <wp:align>center</wp:align>
            </wp:positionH>
            <wp:positionV relativeFrom="margin">
              <wp:align>top</wp:align>
            </wp:positionV>
            <wp:extent cx="2343785" cy="581025"/>
            <wp:effectExtent l="0" t="0" r="0" b="9525"/>
            <wp:wrapSquare wrapText="bothSides"/>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43785" cy="5810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ascii="Calibri" w:hAnsi="Calibri"/>
          <w:b/>
          <w:bCs/>
          <w:noProof/>
          <w:color w:val="1F3864" w:themeColor="accent1" w:themeShade="80"/>
          <w:sz w:val="32"/>
          <w:szCs w:val="32"/>
        </w:rPr>
        <w:t>Literacy</w:t>
      </w:r>
      <w:r>
        <w:rPr>
          <w:b/>
          <w:bCs/>
          <w:color w:val="1F3864" w:themeColor="accent1" w:themeShade="80"/>
          <w:sz w:val="32"/>
          <w:szCs w:val="32"/>
        </w:rPr>
        <w:t xml:space="preserve">/Dyslexia </w:t>
      </w:r>
      <w:r w:rsidRPr="00357062">
        <w:rPr>
          <w:b/>
          <w:bCs/>
          <w:color w:val="1F3864" w:themeColor="accent1" w:themeShade="80"/>
          <w:sz w:val="32"/>
          <w:szCs w:val="32"/>
        </w:rPr>
        <w:t>Endorsement Provider Information Sheet</w:t>
      </w:r>
    </w:p>
    <w:tbl>
      <w:tblPr>
        <w:tblStyle w:val="TableGrid"/>
        <w:tblW w:w="0" w:type="auto"/>
        <w:tblLook w:val="04A0" w:firstRow="1" w:lastRow="0" w:firstColumn="1" w:lastColumn="0" w:noHBand="0" w:noVBand="1"/>
      </w:tblPr>
      <w:tblGrid>
        <w:gridCol w:w="4675"/>
        <w:gridCol w:w="4675"/>
      </w:tblGrid>
      <w:tr w:rsidR="002451BF" w14:paraId="7FFBB6A5" w14:textId="77777777" w:rsidTr="3ACFE9CD">
        <w:tc>
          <w:tcPr>
            <w:tcW w:w="9350" w:type="dxa"/>
            <w:gridSpan w:val="2"/>
            <w:shd w:val="clear" w:color="auto" w:fill="D9D9D9" w:themeFill="background1" w:themeFillShade="D9"/>
          </w:tcPr>
          <w:p w14:paraId="031CB941" w14:textId="77777777" w:rsidR="002451BF" w:rsidRPr="004E4D8D" w:rsidRDefault="002451BF" w:rsidP="008E1B70">
            <w:pPr>
              <w:rPr>
                <w:b/>
                <w:bCs/>
              </w:rPr>
            </w:pPr>
            <w:r w:rsidRPr="004E4D8D">
              <w:rPr>
                <w:b/>
                <w:bCs/>
              </w:rPr>
              <w:t xml:space="preserve">Organization Name: </w:t>
            </w:r>
          </w:p>
        </w:tc>
      </w:tr>
      <w:tr w:rsidR="002451BF" w14:paraId="4522273C" w14:textId="77777777" w:rsidTr="3ACFE9CD">
        <w:tc>
          <w:tcPr>
            <w:tcW w:w="9350" w:type="dxa"/>
            <w:gridSpan w:val="2"/>
          </w:tcPr>
          <w:p w14:paraId="2CFB70C6" w14:textId="443C3620" w:rsidR="002451BF" w:rsidRDefault="00AA700F" w:rsidP="008E1B70">
            <w:r>
              <w:t xml:space="preserve">AIM Institute for Learning and Research </w:t>
            </w:r>
          </w:p>
        </w:tc>
      </w:tr>
      <w:tr w:rsidR="002451BF" w14:paraId="4501F6C3" w14:textId="77777777" w:rsidTr="3ACFE9CD">
        <w:tc>
          <w:tcPr>
            <w:tcW w:w="9350" w:type="dxa"/>
            <w:gridSpan w:val="2"/>
            <w:shd w:val="clear" w:color="auto" w:fill="D9D9D9" w:themeFill="background1" w:themeFillShade="D9"/>
          </w:tcPr>
          <w:p w14:paraId="4A47F154" w14:textId="77777777" w:rsidR="002451BF" w:rsidRPr="004E4D8D" w:rsidRDefault="002451BF" w:rsidP="008E1B70">
            <w:pPr>
              <w:rPr>
                <w:b/>
                <w:bCs/>
              </w:rPr>
            </w:pPr>
            <w:r w:rsidRPr="004E4D8D">
              <w:rPr>
                <w:b/>
                <w:bCs/>
              </w:rPr>
              <w:t>Primary Contact(s) Names(s):</w:t>
            </w:r>
          </w:p>
        </w:tc>
      </w:tr>
      <w:tr w:rsidR="002451BF" w14:paraId="30EBB49C" w14:textId="77777777" w:rsidTr="3ACFE9CD">
        <w:tc>
          <w:tcPr>
            <w:tcW w:w="9350" w:type="dxa"/>
            <w:gridSpan w:val="2"/>
          </w:tcPr>
          <w:p w14:paraId="622141F1" w14:textId="340713BB" w:rsidR="002451BF" w:rsidRDefault="0087583F" w:rsidP="008E1B70">
            <w:r>
              <w:t xml:space="preserve">Shelly Johnston </w:t>
            </w:r>
          </w:p>
        </w:tc>
      </w:tr>
      <w:tr w:rsidR="002451BF" w14:paraId="103BC061" w14:textId="77777777" w:rsidTr="3ACFE9CD">
        <w:tc>
          <w:tcPr>
            <w:tcW w:w="9350" w:type="dxa"/>
            <w:gridSpan w:val="2"/>
            <w:shd w:val="clear" w:color="auto" w:fill="D9D9D9" w:themeFill="background1" w:themeFillShade="D9"/>
          </w:tcPr>
          <w:p w14:paraId="5D7C9A63" w14:textId="77777777" w:rsidR="002451BF" w:rsidRPr="004E4D8D" w:rsidRDefault="002451BF" w:rsidP="008E1B70">
            <w:pPr>
              <w:rPr>
                <w:b/>
                <w:bCs/>
              </w:rPr>
            </w:pPr>
            <w:r w:rsidRPr="004E4D8D">
              <w:rPr>
                <w:b/>
                <w:bCs/>
              </w:rPr>
              <w:t>Phone Number(s):</w:t>
            </w:r>
          </w:p>
        </w:tc>
      </w:tr>
      <w:tr w:rsidR="002451BF" w14:paraId="042A275B" w14:textId="77777777" w:rsidTr="3ACFE9CD">
        <w:tc>
          <w:tcPr>
            <w:tcW w:w="9350" w:type="dxa"/>
            <w:gridSpan w:val="2"/>
          </w:tcPr>
          <w:p w14:paraId="1A067102" w14:textId="2A603AF6" w:rsidR="002451BF" w:rsidRDefault="0087583F" w:rsidP="008E1B70">
            <w:r w:rsidRPr="0087583F">
              <w:t>716-720-6413 (cell)</w:t>
            </w:r>
          </w:p>
        </w:tc>
      </w:tr>
      <w:tr w:rsidR="002451BF" w14:paraId="5A62AA8B" w14:textId="77777777" w:rsidTr="3ACFE9CD">
        <w:tc>
          <w:tcPr>
            <w:tcW w:w="9350" w:type="dxa"/>
            <w:gridSpan w:val="2"/>
            <w:shd w:val="clear" w:color="auto" w:fill="D9D9D9" w:themeFill="background1" w:themeFillShade="D9"/>
          </w:tcPr>
          <w:p w14:paraId="6034886D" w14:textId="77777777" w:rsidR="002451BF" w:rsidRPr="004E4D8D" w:rsidRDefault="002451BF" w:rsidP="008E1B70">
            <w:pPr>
              <w:rPr>
                <w:b/>
                <w:bCs/>
              </w:rPr>
            </w:pPr>
            <w:r w:rsidRPr="004E4D8D">
              <w:rPr>
                <w:b/>
                <w:bCs/>
              </w:rPr>
              <w:t>E-mail Address(es):</w:t>
            </w:r>
          </w:p>
        </w:tc>
      </w:tr>
      <w:tr w:rsidR="002451BF" w14:paraId="7ABD947D" w14:textId="77777777" w:rsidTr="3ACFE9CD">
        <w:tc>
          <w:tcPr>
            <w:tcW w:w="9350" w:type="dxa"/>
            <w:gridSpan w:val="2"/>
          </w:tcPr>
          <w:p w14:paraId="1BBE9DEF" w14:textId="323009A7" w:rsidR="002451BF" w:rsidRDefault="0087583F" w:rsidP="008E1B70">
            <w:r w:rsidRPr="0087583F">
              <w:t>sjohnston@aimpa.org</w:t>
            </w:r>
          </w:p>
        </w:tc>
      </w:tr>
      <w:tr w:rsidR="002451BF" w14:paraId="6DD50CFB" w14:textId="77777777" w:rsidTr="3ACFE9CD">
        <w:tc>
          <w:tcPr>
            <w:tcW w:w="9350" w:type="dxa"/>
            <w:gridSpan w:val="2"/>
            <w:shd w:val="clear" w:color="auto" w:fill="D9D9D9" w:themeFill="background1" w:themeFillShade="D9"/>
          </w:tcPr>
          <w:p w14:paraId="55F6883A" w14:textId="77777777" w:rsidR="002451BF" w:rsidRPr="004E4D8D" w:rsidRDefault="002451BF" w:rsidP="008E1B70">
            <w:pPr>
              <w:rPr>
                <w:b/>
                <w:bCs/>
              </w:rPr>
            </w:pPr>
            <w:r w:rsidRPr="004E4D8D">
              <w:rPr>
                <w:b/>
                <w:bCs/>
              </w:rPr>
              <w:t>Brief explanation of format (e.g., virtual, synchronous, asynchronous):</w:t>
            </w:r>
          </w:p>
        </w:tc>
      </w:tr>
      <w:tr w:rsidR="002451BF" w14:paraId="76E9C874" w14:textId="77777777" w:rsidTr="3ACFE9CD">
        <w:tc>
          <w:tcPr>
            <w:tcW w:w="9350" w:type="dxa"/>
            <w:gridSpan w:val="2"/>
          </w:tcPr>
          <w:p w14:paraId="55B76362" w14:textId="77777777" w:rsidR="002451BF" w:rsidRDefault="002451BF" w:rsidP="00AA320E"/>
          <w:p w14:paraId="3037CD55" w14:textId="77777777" w:rsidR="00AA700F" w:rsidRDefault="00AA700F" w:rsidP="00AA700F">
            <w:r>
              <w:t>AIM Pathways is an interactive, digital, professional development platform designed to</w:t>
            </w:r>
          </w:p>
          <w:p w14:paraId="67CD1184" w14:textId="77777777" w:rsidR="00AA700F" w:rsidRDefault="00AA700F" w:rsidP="00AA700F">
            <w:r>
              <w:t>strengthen educators’ knowledge and skills in the science of literacy instruction. Course content</w:t>
            </w:r>
          </w:p>
          <w:p w14:paraId="4125D469" w14:textId="77777777" w:rsidR="00AA700F" w:rsidRDefault="00AA700F" w:rsidP="00AA700F">
            <w:r>
              <w:t>is aligned to the International Dyslexia Association’s Knowledge and Practice Standards for</w:t>
            </w:r>
          </w:p>
          <w:p w14:paraId="3E64E82E" w14:textId="7DB6886C" w:rsidR="00AA700F" w:rsidRDefault="00AA700F" w:rsidP="00AA700F">
            <w:r>
              <w:t>Teachers of Reading. To translate theoretical models into classroom practice, AIM Pathways courses are designed to follow a Learn, Practice, and Apply cycle:</w:t>
            </w:r>
          </w:p>
          <w:p w14:paraId="402BF4CB" w14:textId="77777777" w:rsidR="00AA700F" w:rsidRDefault="00AA700F" w:rsidP="00AA700F">
            <w:r>
              <w:t>● Learn – Participants acquire knowledge by interacting with video lectures, articles,</w:t>
            </w:r>
          </w:p>
          <w:p w14:paraId="715ADF8B" w14:textId="77777777" w:rsidR="00AA700F" w:rsidRDefault="00AA700F" w:rsidP="00AA700F">
            <w:r>
              <w:t>animated videos, and more.</w:t>
            </w:r>
          </w:p>
          <w:p w14:paraId="463EC27E" w14:textId="77777777" w:rsidR="00AA700F" w:rsidRDefault="00AA700F" w:rsidP="00AA700F">
            <w:r>
              <w:t>● Practice – Participants practice newly acquired knowledge through card-sorting</w:t>
            </w:r>
          </w:p>
          <w:p w14:paraId="70B8444C" w14:textId="77777777" w:rsidR="00AA700F" w:rsidRDefault="00AA700F" w:rsidP="00AA700F">
            <w:r>
              <w:t>exercises, quizzes, and surveys.</w:t>
            </w:r>
          </w:p>
          <w:p w14:paraId="6821005B" w14:textId="77777777" w:rsidR="00AA700F" w:rsidRDefault="00AA700F" w:rsidP="00AA700F">
            <w:r>
              <w:t>● Apply – Participants apply their understanding of the content to real-life simulations</w:t>
            </w:r>
          </w:p>
          <w:p w14:paraId="5517A0B6" w14:textId="77777777" w:rsidR="00AA700F" w:rsidRDefault="00AA700F" w:rsidP="00AA700F">
            <w:r>
              <w:t>and case studies. These in-depth, multi-step scenarios give educational leaders a</w:t>
            </w:r>
          </w:p>
          <w:p w14:paraId="067D576A" w14:textId="77777777" w:rsidR="00AA700F" w:rsidRDefault="00AA700F" w:rsidP="00AA700F">
            <w:r>
              <w:t>chance to hone their diagnostic and prescriptive decision-making skills for</w:t>
            </w:r>
          </w:p>
          <w:p w14:paraId="118F2333" w14:textId="77777777" w:rsidR="00AA700F" w:rsidRDefault="00AA700F" w:rsidP="00AA700F">
            <w:r>
              <w:t>instructional programming.</w:t>
            </w:r>
          </w:p>
          <w:p w14:paraId="3B461D04" w14:textId="77777777" w:rsidR="00AA700F" w:rsidRDefault="00AA700F" w:rsidP="00AA700F"/>
          <w:p w14:paraId="0BD3F2DB" w14:textId="77777777" w:rsidR="00AA700F" w:rsidRDefault="00AA700F" w:rsidP="00AA700F">
            <w:r>
              <w:t>The AIM Pathways course platform also includes a variety of downloadable and printable</w:t>
            </w:r>
          </w:p>
          <w:p w14:paraId="5D186B36" w14:textId="77777777" w:rsidR="00AA700F" w:rsidRDefault="00AA700F" w:rsidP="00AA700F">
            <w:r>
              <w:t>resources for educators to use in classroom planning and instruction, including student</w:t>
            </w:r>
          </w:p>
          <w:p w14:paraId="0CD5E48A" w14:textId="77777777" w:rsidR="00AA700F" w:rsidRDefault="00AA700F" w:rsidP="00AA700F">
            <w:r>
              <w:t>checklists and rubrics, systematic scope-and-sequences, instructional scripts, student</w:t>
            </w:r>
          </w:p>
          <w:p w14:paraId="04AD4785" w14:textId="77777777" w:rsidR="00AA700F" w:rsidRDefault="00AA700F" w:rsidP="00AA700F">
            <w:r>
              <w:t>manipulatives, sample lesson plans, differentiation and intervention tools, and more. These</w:t>
            </w:r>
          </w:p>
          <w:p w14:paraId="069D7470" w14:textId="77777777" w:rsidR="00AA700F" w:rsidRDefault="00AA700F" w:rsidP="00AA700F">
            <w:r>
              <w:t>valuable resources are readily accessible to participants and easily searchable on all digital</w:t>
            </w:r>
          </w:p>
          <w:p w14:paraId="17B66A2B" w14:textId="6188AC3A" w:rsidR="00AA320E" w:rsidRDefault="00AA700F" w:rsidP="00AA700F">
            <w:r>
              <w:t>devices.</w:t>
            </w:r>
          </w:p>
          <w:p w14:paraId="363CCE86" w14:textId="5AD74F6C" w:rsidR="00AA700F" w:rsidRDefault="00AA700F" w:rsidP="00AA700F"/>
          <w:p w14:paraId="771315A6" w14:textId="514B6954" w:rsidR="00AA320E" w:rsidRDefault="00AA700F" w:rsidP="00AA320E">
            <w:r>
              <w:t xml:space="preserve">Course work is completed asynchronously, and participants will gather synchronously six times throughout the course via the Zoom platform. These six one-hour sessions are to increase educators’ experiences and transfer knowledge from the course into classroom practice. </w:t>
            </w:r>
          </w:p>
          <w:p w14:paraId="79EC3CEA" w14:textId="77777777" w:rsidR="00AA320E" w:rsidRDefault="00AA320E" w:rsidP="00AA320E"/>
        </w:tc>
      </w:tr>
      <w:tr w:rsidR="002451BF" w14:paraId="22E34660" w14:textId="77777777" w:rsidTr="3ACFE9CD">
        <w:tc>
          <w:tcPr>
            <w:tcW w:w="9350" w:type="dxa"/>
            <w:gridSpan w:val="2"/>
            <w:shd w:val="clear" w:color="auto" w:fill="D9D9D9" w:themeFill="background1" w:themeFillShade="D9"/>
          </w:tcPr>
          <w:p w14:paraId="01BBF644" w14:textId="77777777" w:rsidR="002451BF" w:rsidRPr="004E4D8D" w:rsidRDefault="002451BF" w:rsidP="008E1B70">
            <w:pPr>
              <w:rPr>
                <w:b/>
                <w:bCs/>
              </w:rPr>
            </w:pPr>
            <w:r w:rsidRPr="004E4D8D">
              <w:rPr>
                <w:b/>
                <w:bCs/>
              </w:rPr>
              <w:t>Brief explanation of professional learning experience:</w:t>
            </w:r>
          </w:p>
        </w:tc>
      </w:tr>
      <w:tr w:rsidR="002451BF" w14:paraId="69DDF159" w14:textId="77777777" w:rsidTr="3ACFE9CD">
        <w:tc>
          <w:tcPr>
            <w:tcW w:w="9350" w:type="dxa"/>
            <w:gridSpan w:val="2"/>
          </w:tcPr>
          <w:p w14:paraId="30638A69" w14:textId="77777777" w:rsidR="00AA700F" w:rsidRDefault="00AA700F" w:rsidP="00AA700F">
            <w:r w:rsidRPr="00AA700F">
              <w:rPr>
                <w:b/>
                <w:bCs/>
                <w:i/>
                <w:iCs/>
              </w:rPr>
              <w:t>Pathways to Proficient Reading: Secondary</w:t>
            </w:r>
            <w:r>
              <w:t xml:space="preserve"> is designed for teachers who teach in grade four and</w:t>
            </w:r>
          </w:p>
          <w:p w14:paraId="75C1AEB1" w14:textId="77777777" w:rsidR="00AA700F" w:rsidRDefault="00AA700F" w:rsidP="00AA700F">
            <w:r>
              <w:t>above, who are committed to learning about the connection between reading research,</w:t>
            </w:r>
          </w:p>
          <w:p w14:paraId="2257A042" w14:textId="77777777" w:rsidR="00AA700F" w:rsidRDefault="00AA700F" w:rsidP="00AA700F">
            <w:r>
              <w:t>theoretical models such as the Simple View of Reading and Scarborough’s Reading Rope, and</w:t>
            </w:r>
          </w:p>
          <w:p w14:paraId="16ABC34B" w14:textId="77777777" w:rsidR="00AA700F" w:rsidRDefault="00AA700F" w:rsidP="00AA700F">
            <w:r>
              <w:t>best practices for language and literacy instruction in the classroom. Participants will learn</w:t>
            </w:r>
          </w:p>
          <w:p w14:paraId="566FDA61" w14:textId="77777777" w:rsidR="00AA700F" w:rsidRDefault="00AA700F" w:rsidP="00AA700F">
            <w:r>
              <w:lastRenderedPageBreak/>
              <w:t>effective instructional practices that will benefit all students, including linguistically diverse</w:t>
            </w:r>
          </w:p>
          <w:p w14:paraId="1C1995AE" w14:textId="77777777" w:rsidR="00AA700F" w:rsidRDefault="00AA700F" w:rsidP="00AA700F">
            <w:r>
              <w:t>populations and those with language-based learning disabilities. Completion of Pathways to</w:t>
            </w:r>
          </w:p>
          <w:p w14:paraId="1C8FF0E8" w14:textId="77777777" w:rsidR="00AA700F" w:rsidRDefault="00AA700F" w:rsidP="00AA700F">
            <w:r>
              <w:t>Proficient Reading: Secondary is estimated to take approximately 55 hours, depending on the</w:t>
            </w:r>
          </w:p>
          <w:p w14:paraId="5919ACB3" w14:textId="77777777" w:rsidR="00AA700F" w:rsidRDefault="00AA700F" w:rsidP="00AA700F">
            <w:r>
              <w:t>participant’s background knowledge in the science of reading. At the end of this professional</w:t>
            </w:r>
          </w:p>
          <w:p w14:paraId="4903469D" w14:textId="77777777" w:rsidR="00AA700F" w:rsidRDefault="00AA700F" w:rsidP="00AA700F">
            <w:r>
              <w:t>development opportunity, participants will be able to draw from their specialized knowledge in</w:t>
            </w:r>
          </w:p>
          <w:p w14:paraId="1DB8CAFB" w14:textId="77777777" w:rsidR="00AA700F" w:rsidRDefault="00AA700F" w:rsidP="00AA700F">
            <w:r>
              <w:t>the science of reading to improve lesson planning and provide evidence-based diagnostic,</w:t>
            </w:r>
          </w:p>
          <w:p w14:paraId="67D8B9DE" w14:textId="3A576E8D" w:rsidR="002451BF" w:rsidRDefault="00AA700F" w:rsidP="00AA700F">
            <w:r>
              <w:t>prescriptive literacy instruction across content</w:t>
            </w:r>
            <w:r w:rsidR="002A785F">
              <w:t>/discipline</w:t>
            </w:r>
            <w:r>
              <w:t xml:space="preserve"> areas. The course will also prepare participants for</w:t>
            </w:r>
            <w:r w:rsidR="002A785F">
              <w:t xml:space="preserve"> </w:t>
            </w:r>
            <w:r>
              <w:t>the Center for Effective Reading Instruction’s Knowledge and Practice Examination for Effective</w:t>
            </w:r>
            <w:r w:rsidR="002A785F">
              <w:t xml:space="preserve"> </w:t>
            </w:r>
            <w:r>
              <w:t>Reading Instruction (KPEERI) exam and certification.</w:t>
            </w:r>
          </w:p>
          <w:p w14:paraId="6C6E1C89" w14:textId="77777777" w:rsidR="002A785F" w:rsidRDefault="002A785F" w:rsidP="00AA700F"/>
          <w:p w14:paraId="7520482C" w14:textId="77777777" w:rsidR="002A785F" w:rsidRDefault="002A785F" w:rsidP="002A785F">
            <w:r>
              <w:t>Participants will log into the AIM Pathways platform at</w:t>
            </w:r>
          </w:p>
          <w:p w14:paraId="727DBAF0" w14:textId="48F3BB32" w:rsidR="002A785F" w:rsidRDefault="002A785F" w:rsidP="002A785F">
            <w:r w:rsidRPr="002A785F">
              <w:rPr>
                <w:i/>
                <w:iCs/>
                <w:color w:val="4472C4" w:themeColor="accent1"/>
              </w:rPr>
              <w:t>https://www.aimpathwaysonline.org/#/public-dashboard.</w:t>
            </w:r>
            <w:r w:rsidRPr="002A785F">
              <w:rPr>
                <w:color w:val="4472C4" w:themeColor="accent1"/>
              </w:rPr>
              <w:t xml:space="preserve"> </w:t>
            </w:r>
          </w:p>
          <w:p w14:paraId="70E95C25" w14:textId="6439F861" w:rsidR="002A785F" w:rsidRDefault="002A785F" w:rsidP="002A785F">
            <w:r>
              <w:t xml:space="preserve">The introductory section of </w:t>
            </w:r>
            <w:r w:rsidRPr="002A785F">
              <w:rPr>
                <w:b/>
                <w:bCs/>
                <w:i/>
                <w:iCs/>
              </w:rPr>
              <w:t>Pathways to Proficient Reading Secondary</w:t>
            </w:r>
            <w:r>
              <w:t xml:space="preserve"> will 1) introduce participants to the digital learning platform 2) provide an orientation to course content and requirements and 3) require completion of a pre-course knowledge inventory to establish a baseline of current content</w:t>
            </w:r>
          </w:p>
          <w:p w14:paraId="1F8B3760" w14:textId="2AD2CFC6" w:rsidR="002A785F" w:rsidRDefault="002A785F" w:rsidP="002A785F">
            <w:r>
              <w:t xml:space="preserve">knowledge. The </w:t>
            </w:r>
            <w:r w:rsidRPr="002A785F">
              <w:rPr>
                <w:b/>
                <w:bCs/>
                <w:i/>
                <w:iCs/>
              </w:rPr>
              <w:t>Pathways to Proficient Reading</w:t>
            </w:r>
            <w:r>
              <w:rPr>
                <w:b/>
                <w:bCs/>
                <w:i/>
                <w:iCs/>
              </w:rPr>
              <w:t xml:space="preserve"> </w:t>
            </w:r>
            <w:r w:rsidRPr="002A785F">
              <w:rPr>
                <w:b/>
                <w:bCs/>
                <w:i/>
                <w:iCs/>
              </w:rPr>
              <w:t>Secondary</w:t>
            </w:r>
            <w:r>
              <w:t xml:space="preserve"> course </w:t>
            </w:r>
            <w:proofErr w:type="gramStart"/>
            <w:r>
              <w:t>includes</w:t>
            </w:r>
            <w:proofErr w:type="gramEnd"/>
            <w:r>
              <w:t xml:space="preserve"> graded assessments, including end-of-section quizzes and reading assignment quizzes. Grades are displayed as percentages. All graded quizzes in each section are averaged together to calculate the section grade, which is displayed within each section on the Course Content home screen. The overall course grade is an average of the participant’s section grades, displayed within the participant’s transcript once the</w:t>
            </w:r>
          </w:p>
          <w:p w14:paraId="415C2B46" w14:textId="3AD8226F" w:rsidR="002A785F" w:rsidRDefault="002A785F" w:rsidP="002A785F">
            <w:r>
              <w:t>course is completed.</w:t>
            </w:r>
          </w:p>
          <w:p w14:paraId="7887BF37" w14:textId="77777777" w:rsidR="002A785F" w:rsidRDefault="002A785F" w:rsidP="002A785F"/>
          <w:p w14:paraId="1D4785D9" w14:textId="0CFC4A6B" w:rsidR="002A785F" w:rsidRDefault="002A785F" w:rsidP="002A785F">
            <w:r>
              <w:t xml:space="preserve">The 16-section </w:t>
            </w:r>
            <w:r w:rsidRPr="002A785F">
              <w:rPr>
                <w:b/>
                <w:bCs/>
                <w:i/>
                <w:iCs/>
              </w:rPr>
              <w:t>Pathways to Proficient Reading Secondary</w:t>
            </w:r>
            <w:r>
              <w:t xml:space="preserve"> course is accompanied by a series of</w:t>
            </w:r>
          </w:p>
          <w:p w14:paraId="5BE68A81" w14:textId="77777777" w:rsidR="002A785F" w:rsidRDefault="002A785F" w:rsidP="002A785F">
            <w:r>
              <w:t>six 1-hour synchronous, virtual community-of-practice meetings focused on implementation. An</w:t>
            </w:r>
          </w:p>
          <w:p w14:paraId="365C6B4E" w14:textId="77777777" w:rsidR="002A785F" w:rsidRDefault="002A785F" w:rsidP="002A785F">
            <w:r>
              <w:t>AIM Pathways Facilitator supports the community with translating the course content</w:t>
            </w:r>
          </w:p>
          <w:p w14:paraId="128D4D28" w14:textId="77777777" w:rsidR="002A785F" w:rsidRDefault="002A785F" w:rsidP="002A785F">
            <w:r>
              <w:t>knowledge into evidence-based instructional practices. Participants will be provided a</w:t>
            </w:r>
          </w:p>
          <w:p w14:paraId="51D5A563" w14:textId="77777777" w:rsidR="002A785F" w:rsidRDefault="002A785F" w:rsidP="002A785F">
            <w:r>
              <w:t>customized pacing guide for completing the course sections and attending the</w:t>
            </w:r>
          </w:p>
          <w:p w14:paraId="0C36A71A" w14:textId="77777777" w:rsidR="002A785F" w:rsidRDefault="002A785F" w:rsidP="002A785F">
            <w:r>
              <w:t>community-of-practice meetings. The meetings are mandatory, however, in case of an</w:t>
            </w:r>
          </w:p>
          <w:p w14:paraId="27B545A5" w14:textId="77777777" w:rsidR="002A785F" w:rsidRDefault="002A785F" w:rsidP="002A785F">
            <w:r>
              <w:t xml:space="preserve">unexpected conflict, you are permitted one excused absence. </w:t>
            </w:r>
            <w:proofErr w:type="gramStart"/>
            <w:r>
              <w:t>In order to</w:t>
            </w:r>
            <w:proofErr w:type="gramEnd"/>
            <w:r>
              <w:t xml:space="preserve"> be excused, you must</w:t>
            </w:r>
          </w:p>
          <w:p w14:paraId="703DA36E" w14:textId="77777777" w:rsidR="002A785F" w:rsidRDefault="002A785F" w:rsidP="002A785F">
            <w:r>
              <w:t>email your facilitator prior to the meeting, or within one week after the meeting, to explain your</w:t>
            </w:r>
          </w:p>
          <w:p w14:paraId="07B3A0A9" w14:textId="77777777" w:rsidR="002A785F" w:rsidRDefault="002A785F" w:rsidP="002A785F">
            <w:r>
              <w:t xml:space="preserve">absence and </w:t>
            </w:r>
            <w:proofErr w:type="gramStart"/>
            <w:r>
              <w:t>make arrangements</w:t>
            </w:r>
            <w:proofErr w:type="gramEnd"/>
            <w:r>
              <w:t xml:space="preserve"> to watch the archived recording. If you fail to notify your</w:t>
            </w:r>
          </w:p>
          <w:p w14:paraId="112723E0" w14:textId="77777777" w:rsidR="002A785F" w:rsidRDefault="002A785F" w:rsidP="002A785F">
            <w:r>
              <w:t>facilitator within this timeframe, you will not receive credit for the session due to a lack of</w:t>
            </w:r>
          </w:p>
          <w:p w14:paraId="005F7A28" w14:textId="45BF9E32" w:rsidR="00AA320E" w:rsidRPr="002A785F" w:rsidRDefault="002A785F" w:rsidP="00AA320E">
            <w:r>
              <w:t>communication with your facilitator in a timely manner.</w:t>
            </w:r>
          </w:p>
        </w:tc>
      </w:tr>
      <w:tr w:rsidR="002451BF" w14:paraId="0D38C453" w14:textId="77777777" w:rsidTr="3ACFE9CD">
        <w:tc>
          <w:tcPr>
            <w:tcW w:w="9350" w:type="dxa"/>
            <w:gridSpan w:val="2"/>
            <w:shd w:val="clear" w:color="auto" w:fill="D9D9D9" w:themeFill="background1" w:themeFillShade="D9"/>
          </w:tcPr>
          <w:p w14:paraId="0280D29B" w14:textId="77777777" w:rsidR="002451BF" w:rsidRPr="004E4D8D" w:rsidRDefault="002451BF" w:rsidP="008E1B70">
            <w:pPr>
              <w:rPr>
                <w:b/>
                <w:bCs/>
              </w:rPr>
            </w:pPr>
            <w:r w:rsidRPr="004E4D8D">
              <w:rPr>
                <w:b/>
                <w:bCs/>
              </w:rPr>
              <w:lastRenderedPageBreak/>
              <w:t xml:space="preserve">Recommendation: </w:t>
            </w:r>
          </w:p>
          <w:p w14:paraId="231C3C0F" w14:textId="77777777" w:rsidR="002451BF" w:rsidRPr="001C4EED" w:rsidRDefault="002451BF" w:rsidP="008E1B70">
            <w:pPr>
              <w:pStyle w:val="Default"/>
              <w:rPr>
                <w:sz w:val="23"/>
                <w:szCs w:val="23"/>
              </w:rPr>
            </w:pPr>
            <w:r>
              <w:rPr>
                <w:sz w:val="23"/>
                <w:szCs w:val="23"/>
              </w:rPr>
              <w:t xml:space="preserve">While this training meets the Right to Read Act requirements for all educators needing to meet </w:t>
            </w:r>
            <w:r>
              <w:rPr>
                <w:i/>
                <w:iCs/>
                <w:sz w:val="23"/>
                <w:szCs w:val="23"/>
              </w:rPr>
              <w:t xml:space="preserve">proficiency </w:t>
            </w:r>
            <w:r>
              <w:rPr>
                <w:sz w:val="23"/>
                <w:szCs w:val="23"/>
              </w:rPr>
              <w:t xml:space="preserve">requirements, the following recommendations are offered for consideration. </w:t>
            </w:r>
          </w:p>
        </w:tc>
      </w:tr>
      <w:tr w:rsidR="002451BF" w14:paraId="12B0A944" w14:textId="77777777" w:rsidTr="3ACFE9CD">
        <w:tc>
          <w:tcPr>
            <w:tcW w:w="4675" w:type="dxa"/>
            <w:shd w:val="clear" w:color="auto" w:fill="D9D9D9" w:themeFill="background1" w:themeFillShade="D9"/>
          </w:tcPr>
          <w:p w14:paraId="55D06976" w14:textId="77777777" w:rsidR="002451BF" w:rsidRDefault="002451BF" w:rsidP="008E1B70">
            <w:r>
              <w:t>Classroom Educators</w:t>
            </w:r>
          </w:p>
        </w:tc>
        <w:tc>
          <w:tcPr>
            <w:tcW w:w="4675" w:type="dxa"/>
            <w:shd w:val="clear" w:color="auto" w:fill="auto"/>
          </w:tcPr>
          <w:p w14:paraId="376AAE62" w14:textId="0AB7A8C5" w:rsidR="002451BF" w:rsidRDefault="002A785F" w:rsidP="008E1B70">
            <w:r>
              <w:t xml:space="preserve">Who teach in grades 4 – 12 </w:t>
            </w:r>
          </w:p>
        </w:tc>
      </w:tr>
      <w:tr w:rsidR="002451BF" w14:paraId="0F1784CB" w14:textId="77777777" w:rsidTr="3ACFE9CD">
        <w:tc>
          <w:tcPr>
            <w:tcW w:w="4675" w:type="dxa"/>
            <w:shd w:val="clear" w:color="auto" w:fill="D9D9D9" w:themeFill="background1" w:themeFillShade="D9"/>
          </w:tcPr>
          <w:p w14:paraId="1E5A4A01" w14:textId="77777777" w:rsidR="002451BF" w:rsidRPr="004E4D8D" w:rsidRDefault="002451BF" w:rsidP="008E1B70">
            <w:pPr>
              <w:pStyle w:val="Default"/>
              <w:rPr>
                <w:sz w:val="23"/>
                <w:szCs w:val="23"/>
              </w:rPr>
            </w:pPr>
            <w:r>
              <w:rPr>
                <w:sz w:val="23"/>
                <w:szCs w:val="23"/>
              </w:rPr>
              <w:t xml:space="preserve">Specialists, Tier II and Tier III Instructors </w:t>
            </w:r>
          </w:p>
        </w:tc>
        <w:tc>
          <w:tcPr>
            <w:tcW w:w="4675" w:type="dxa"/>
            <w:shd w:val="clear" w:color="auto" w:fill="auto"/>
          </w:tcPr>
          <w:p w14:paraId="08D5D9F7" w14:textId="38FAC7F9" w:rsidR="002451BF" w:rsidRDefault="002A785F" w:rsidP="008E1B70">
            <w:r>
              <w:t>Special Education Teachers, Tier II instructors in grades 4 – 12, reading coaches</w:t>
            </w:r>
          </w:p>
        </w:tc>
      </w:tr>
      <w:tr w:rsidR="002451BF" w14:paraId="4C585C90" w14:textId="77777777" w:rsidTr="3ACFE9CD">
        <w:tc>
          <w:tcPr>
            <w:tcW w:w="4675" w:type="dxa"/>
            <w:shd w:val="clear" w:color="auto" w:fill="D9D9D9" w:themeFill="background1" w:themeFillShade="D9"/>
          </w:tcPr>
          <w:p w14:paraId="144E0BBB" w14:textId="77777777" w:rsidR="002451BF" w:rsidRDefault="002451BF" w:rsidP="008E1B70">
            <w:r w:rsidRPr="004E4D8D">
              <w:t>Administrators (Awareness)</w:t>
            </w:r>
          </w:p>
        </w:tc>
        <w:tc>
          <w:tcPr>
            <w:tcW w:w="4675" w:type="dxa"/>
            <w:shd w:val="clear" w:color="auto" w:fill="auto"/>
          </w:tcPr>
          <w:p w14:paraId="1124D051" w14:textId="5AF7D45A" w:rsidR="002451BF" w:rsidRDefault="002A785F" w:rsidP="008E1B70">
            <w:r>
              <w:t xml:space="preserve">N/A – Leaders should take </w:t>
            </w:r>
            <w:r w:rsidRPr="002A785F">
              <w:rPr>
                <w:b/>
                <w:bCs/>
                <w:i/>
                <w:iCs/>
              </w:rPr>
              <w:t>AIM Pathways to Literacy Leadership</w:t>
            </w:r>
            <w:r>
              <w:t xml:space="preserve"> </w:t>
            </w:r>
          </w:p>
        </w:tc>
      </w:tr>
      <w:tr w:rsidR="002451BF" w14:paraId="6299CE55" w14:textId="77777777" w:rsidTr="3ACFE9CD">
        <w:tc>
          <w:tcPr>
            <w:tcW w:w="9350" w:type="dxa"/>
            <w:gridSpan w:val="2"/>
            <w:shd w:val="clear" w:color="auto" w:fill="D9D9D9" w:themeFill="background1" w:themeFillShade="D9"/>
          </w:tcPr>
          <w:p w14:paraId="74E3CF6F" w14:textId="77777777" w:rsidR="002451BF" w:rsidRPr="004E4D8D" w:rsidRDefault="002451BF" w:rsidP="008E1B70">
            <w:pPr>
              <w:rPr>
                <w:b/>
                <w:bCs/>
              </w:rPr>
            </w:pPr>
            <w:r w:rsidRPr="004E4D8D">
              <w:rPr>
                <w:b/>
                <w:bCs/>
              </w:rPr>
              <w:t>Length of Training and Associated Costs:</w:t>
            </w:r>
          </w:p>
        </w:tc>
      </w:tr>
      <w:tr w:rsidR="0087583F" w14:paraId="12B9FC1D" w14:textId="77777777" w:rsidTr="3ACFE9CD">
        <w:tc>
          <w:tcPr>
            <w:tcW w:w="4675" w:type="dxa"/>
          </w:tcPr>
          <w:p w14:paraId="2F60204C" w14:textId="77777777" w:rsidR="0087583F" w:rsidRDefault="0087583F" w:rsidP="0087583F">
            <w:pPr>
              <w:pStyle w:val="ListParagraph"/>
              <w:numPr>
                <w:ilvl w:val="0"/>
                <w:numId w:val="1"/>
              </w:numPr>
            </w:pPr>
            <w:r>
              <w:t xml:space="preserve">1-year license for Pathways to Proficient Reading </w:t>
            </w:r>
          </w:p>
          <w:p w14:paraId="15C3C3AD" w14:textId="77777777" w:rsidR="0087583F" w:rsidRDefault="0087583F" w:rsidP="0087583F">
            <w:pPr>
              <w:pStyle w:val="ListParagraph"/>
              <w:numPr>
                <w:ilvl w:val="0"/>
                <w:numId w:val="1"/>
              </w:numPr>
            </w:pPr>
            <w:r>
              <w:t xml:space="preserve">Orientation Session and administration of AIM Pathway Pre and Post Knowledge Inventory </w:t>
            </w:r>
          </w:p>
          <w:p w14:paraId="67A26747" w14:textId="123682F1" w:rsidR="0087583F" w:rsidRDefault="0087583F" w:rsidP="0087583F">
            <w:pPr>
              <w:rPr>
                <w:i/>
                <w:iCs/>
              </w:rPr>
            </w:pPr>
            <w:r>
              <w:t>6 Virtual Community of Practice Sessions (60 minutes per session)</w:t>
            </w:r>
          </w:p>
        </w:tc>
        <w:tc>
          <w:tcPr>
            <w:tcW w:w="4675" w:type="dxa"/>
          </w:tcPr>
          <w:p w14:paraId="504A08C7" w14:textId="77777777" w:rsidR="0087583F" w:rsidRDefault="0087583F" w:rsidP="0087583F"/>
          <w:p w14:paraId="5C611045" w14:textId="433FA118" w:rsidR="0087583F" w:rsidRPr="00930F3D" w:rsidRDefault="0087583F" w:rsidP="0087583F">
            <w:r>
              <w:t>$750 per user $18,750 per cohort</w:t>
            </w:r>
          </w:p>
        </w:tc>
      </w:tr>
    </w:tbl>
    <w:p w14:paraId="04099E3C" w14:textId="77777777" w:rsidR="002451BF" w:rsidRDefault="002451BF" w:rsidP="002451BF"/>
    <w:p w14:paraId="4E284FBE" w14:textId="77777777" w:rsidR="002451BF" w:rsidRDefault="002451BF"/>
    <w:sectPr w:rsidR="002451BF" w:rsidSect="00245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76464"/>
    <w:multiLevelType w:val="hybridMultilevel"/>
    <w:tmpl w:val="30E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0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BF"/>
    <w:rsid w:val="002451BF"/>
    <w:rsid w:val="002A785F"/>
    <w:rsid w:val="004435C7"/>
    <w:rsid w:val="004D5CED"/>
    <w:rsid w:val="00653912"/>
    <w:rsid w:val="0087583F"/>
    <w:rsid w:val="0089191D"/>
    <w:rsid w:val="00AA320E"/>
    <w:rsid w:val="00AA700F"/>
    <w:rsid w:val="00AB699C"/>
    <w:rsid w:val="00D07ED5"/>
    <w:rsid w:val="00EA20CD"/>
    <w:rsid w:val="3ACFE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C25E"/>
  <w15:chartTrackingRefBased/>
  <w15:docId w15:val="{CE6A514E-FF8F-415F-867C-342098A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B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1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1B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basedOn w:val="Normal"/>
    <w:uiPriority w:val="34"/>
    <w:qFormat/>
    <w:rsid w:val="00875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Cimini, Haley</dc:creator>
  <cp:keywords/>
  <dc:description/>
  <cp:lastModifiedBy>Pora, Patricia</cp:lastModifiedBy>
  <cp:revision>2</cp:revision>
  <dcterms:created xsi:type="dcterms:W3CDTF">2024-08-30T15:56:00Z</dcterms:created>
  <dcterms:modified xsi:type="dcterms:W3CDTF">2024-08-30T15:56:00Z</dcterms:modified>
</cp:coreProperties>
</file>