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5D3F" w14:textId="77777777" w:rsidR="00357062" w:rsidRDefault="00357062"/>
    <w:p w14:paraId="26890930" w14:textId="77777777" w:rsidR="00357062" w:rsidRDefault="00357062"/>
    <w:p w14:paraId="2C057354" w14:textId="77777777" w:rsidR="00357062" w:rsidRDefault="00357062"/>
    <w:p w14:paraId="0762BCE5" w14:textId="731F1CD9" w:rsidR="00DC108E" w:rsidRPr="00357062" w:rsidRDefault="00357062" w:rsidP="00357062">
      <w:pPr>
        <w:jc w:val="center"/>
        <w:rPr>
          <w:b/>
          <w:bCs/>
          <w:color w:val="1F3864" w:themeColor="accent1" w:themeShade="80"/>
          <w:sz w:val="32"/>
          <w:szCs w:val="32"/>
        </w:rPr>
      </w:pPr>
      <w:r w:rsidRPr="00357062">
        <w:rPr>
          <w:rFonts w:ascii="Calibri" w:hAnsi="Calibri"/>
          <w:b/>
          <w:bCs/>
          <w:noProof/>
          <w:color w:val="1F3864" w:themeColor="accent1" w:themeShade="80"/>
          <w:sz w:val="32"/>
          <w:szCs w:val="32"/>
        </w:rPr>
        <w:drawing>
          <wp:anchor distT="0" distB="0" distL="114300" distR="114300" simplePos="0" relativeHeight="251658240" behindDoc="0" locked="0" layoutInCell="1" allowOverlap="1" wp14:anchorId="444BCC9B" wp14:editId="16FA53FD">
            <wp:simplePos x="2400300" y="2962275"/>
            <wp:positionH relativeFrom="margin">
              <wp:align>center</wp:align>
            </wp:positionH>
            <wp:positionV relativeFrom="margin">
              <wp:align>top</wp:align>
            </wp:positionV>
            <wp:extent cx="2343785" cy="581025"/>
            <wp:effectExtent l="0" t="0" r="0" b="9525"/>
            <wp:wrapSquare wrapText="bothSides"/>
            <wp:docPr id="34" name="Picture 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43785" cy="58102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0D6995">
        <w:rPr>
          <w:rFonts w:ascii="Calibri" w:hAnsi="Calibri"/>
          <w:b/>
          <w:bCs/>
          <w:noProof/>
          <w:color w:val="1F3864" w:themeColor="accent1" w:themeShade="80"/>
          <w:sz w:val="32"/>
          <w:szCs w:val="32"/>
        </w:rPr>
        <w:t>Literacy</w:t>
      </w:r>
      <w:r w:rsidR="00176525">
        <w:rPr>
          <w:b/>
          <w:bCs/>
          <w:color w:val="1F3864" w:themeColor="accent1" w:themeShade="80"/>
          <w:sz w:val="32"/>
          <w:szCs w:val="32"/>
        </w:rPr>
        <w:t xml:space="preserve">/Dyslexia </w:t>
      </w:r>
      <w:r w:rsidRPr="00357062">
        <w:rPr>
          <w:b/>
          <w:bCs/>
          <w:color w:val="1F3864" w:themeColor="accent1" w:themeShade="80"/>
          <w:sz w:val="32"/>
          <w:szCs w:val="32"/>
        </w:rPr>
        <w:t>Endorsement Provider Information Sheet</w:t>
      </w:r>
    </w:p>
    <w:tbl>
      <w:tblPr>
        <w:tblStyle w:val="TableGrid"/>
        <w:tblW w:w="0" w:type="auto"/>
        <w:tblLook w:val="04A0" w:firstRow="1" w:lastRow="0" w:firstColumn="1" w:lastColumn="0" w:noHBand="0" w:noVBand="1"/>
      </w:tblPr>
      <w:tblGrid>
        <w:gridCol w:w="4675"/>
        <w:gridCol w:w="4675"/>
      </w:tblGrid>
      <w:tr w:rsidR="00357062" w14:paraId="7C5F0772" w14:textId="77777777" w:rsidTr="00AE38B7">
        <w:tc>
          <w:tcPr>
            <w:tcW w:w="9350" w:type="dxa"/>
            <w:gridSpan w:val="2"/>
            <w:shd w:val="clear" w:color="auto" w:fill="D9D9D9" w:themeFill="background1" w:themeFillShade="D9"/>
          </w:tcPr>
          <w:p w14:paraId="5304DB54" w14:textId="1E86293D" w:rsidR="00357062" w:rsidRPr="004E4D8D" w:rsidRDefault="00357062">
            <w:pPr>
              <w:rPr>
                <w:b/>
                <w:bCs/>
              </w:rPr>
            </w:pPr>
            <w:r w:rsidRPr="004E4D8D">
              <w:rPr>
                <w:b/>
                <w:bCs/>
              </w:rPr>
              <w:t xml:space="preserve">Organization Name: </w:t>
            </w:r>
          </w:p>
        </w:tc>
      </w:tr>
      <w:tr w:rsidR="00357062" w14:paraId="708AE6A9" w14:textId="77777777" w:rsidTr="00357062">
        <w:tc>
          <w:tcPr>
            <w:tcW w:w="9350" w:type="dxa"/>
            <w:gridSpan w:val="2"/>
          </w:tcPr>
          <w:p w14:paraId="08A2AB35" w14:textId="77777777" w:rsidR="00357062" w:rsidRDefault="00357062"/>
          <w:p w14:paraId="14F44684" w14:textId="77777777" w:rsidR="00614A03" w:rsidRDefault="00635D59">
            <w:r>
              <w:t>AIM Institute for Learning &amp; Research</w:t>
            </w:r>
          </w:p>
          <w:p w14:paraId="64AD89C3" w14:textId="56F58D42" w:rsidR="00635D59" w:rsidRDefault="00635D59"/>
        </w:tc>
      </w:tr>
      <w:tr w:rsidR="00357062" w14:paraId="1AAE0A49" w14:textId="77777777" w:rsidTr="00AE38B7">
        <w:tc>
          <w:tcPr>
            <w:tcW w:w="9350" w:type="dxa"/>
            <w:gridSpan w:val="2"/>
            <w:shd w:val="clear" w:color="auto" w:fill="D9D9D9" w:themeFill="background1" w:themeFillShade="D9"/>
          </w:tcPr>
          <w:p w14:paraId="4C9C13BD" w14:textId="04C9F47C" w:rsidR="00357062" w:rsidRPr="004E4D8D" w:rsidRDefault="00357062">
            <w:pPr>
              <w:rPr>
                <w:b/>
                <w:bCs/>
              </w:rPr>
            </w:pPr>
            <w:r w:rsidRPr="004E4D8D">
              <w:rPr>
                <w:b/>
                <w:bCs/>
              </w:rPr>
              <w:t>Primary Contact(s) Names(s):</w:t>
            </w:r>
          </w:p>
        </w:tc>
      </w:tr>
      <w:tr w:rsidR="00357062" w14:paraId="68D97196" w14:textId="77777777" w:rsidTr="00357062">
        <w:tc>
          <w:tcPr>
            <w:tcW w:w="9350" w:type="dxa"/>
            <w:gridSpan w:val="2"/>
          </w:tcPr>
          <w:p w14:paraId="3FAFF7F5" w14:textId="2CEEA564" w:rsidR="00357062" w:rsidRDefault="00635D59">
            <w:r>
              <w:t xml:space="preserve">Emily </w:t>
            </w:r>
            <w:proofErr w:type="spellStart"/>
            <w:r>
              <w:t>Keag</w:t>
            </w:r>
            <w:proofErr w:type="spellEnd"/>
          </w:p>
          <w:p w14:paraId="3106B1A2" w14:textId="3DC813E4" w:rsidR="00614A03" w:rsidRDefault="00614A03"/>
        </w:tc>
      </w:tr>
      <w:tr w:rsidR="00357062" w14:paraId="4311DA0D" w14:textId="77777777" w:rsidTr="00AE38B7">
        <w:tc>
          <w:tcPr>
            <w:tcW w:w="9350" w:type="dxa"/>
            <w:gridSpan w:val="2"/>
            <w:shd w:val="clear" w:color="auto" w:fill="D9D9D9" w:themeFill="background1" w:themeFillShade="D9"/>
          </w:tcPr>
          <w:p w14:paraId="79BC2CDC" w14:textId="4B8D3F80" w:rsidR="00357062" w:rsidRPr="004E4D8D" w:rsidRDefault="00357062">
            <w:pPr>
              <w:rPr>
                <w:b/>
                <w:bCs/>
              </w:rPr>
            </w:pPr>
            <w:r w:rsidRPr="004E4D8D">
              <w:rPr>
                <w:b/>
                <w:bCs/>
              </w:rPr>
              <w:t>Phone Number(s):</w:t>
            </w:r>
          </w:p>
        </w:tc>
      </w:tr>
      <w:tr w:rsidR="00357062" w14:paraId="079C3472" w14:textId="77777777" w:rsidTr="00357062">
        <w:tc>
          <w:tcPr>
            <w:tcW w:w="9350" w:type="dxa"/>
            <w:gridSpan w:val="2"/>
          </w:tcPr>
          <w:p w14:paraId="72075EEA" w14:textId="77777777" w:rsidR="00614A03" w:rsidRDefault="00635D59">
            <w:r>
              <w:t>678-203-3324</w:t>
            </w:r>
            <w:r>
              <w:t xml:space="preserve"> (cell)</w:t>
            </w:r>
          </w:p>
          <w:p w14:paraId="0B5CF128" w14:textId="1C3719FB" w:rsidR="00635D59" w:rsidRDefault="00635D59"/>
        </w:tc>
      </w:tr>
      <w:tr w:rsidR="00357062" w14:paraId="07ACBA13" w14:textId="77777777" w:rsidTr="00AE38B7">
        <w:tc>
          <w:tcPr>
            <w:tcW w:w="9350" w:type="dxa"/>
            <w:gridSpan w:val="2"/>
            <w:shd w:val="clear" w:color="auto" w:fill="D9D9D9" w:themeFill="background1" w:themeFillShade="D9"/>
          </w:tcPr>
          <w:p w14:paraId="09D33BE0" w14:textId="49172C8F" w:rsidR="00357062" w:rsidRPr="004E4D8D" w:rsidRDefault="00357062">
            <w:pPr>
              <w:rPr>
                <w:b/>
                <w:bCs/>
              </w:rPr>
            </w:pPr>
            <w:r w:rsidRPr="004E4D8D">
              <w:rPr>
                <w:b/>
                <w:bCs/>
              </w:rPr>
              <w:t>E-mail Address(es):</w:t>
            </w:r>
          </w:p>
        </w:tc>
      </w:tr>
      <w:tr w:rsidR="00357062" w14:paraId="08274E74" w14:textId="77777777" w:rsidTr="00357062">
        <w:tc>
          <w:tcPr>
            <w:tcW w:w="9350" w:type="dxa"/>
            <w:gridSpan w:val="2"/>
          </w:tcPr>
          <w:p w14:paraId="30E0F1AD" w14:textId="77777777" w:rsidR="00357062" w:rsidRDefault="00357062"/>
          <w:p w14:paraId="20BCDAEC" w14:textId="2A7E5303" w:rsidR="00614A03" w:rsidRDefault="00635D59">
            <w:hyperlink r:id="rId9" w:history="1">
              <w:r w:rsidRPr="0070773D">
                <w:rPr>
                  <w:rStyle w:val="Hyperlink"/>
                </w:rPr>
                <w:t>consulting@aimpa.org</w:t>
              </w:r>
            </w:hyperlink>
            <w:r>
              <w:t xml:space="preserve"> </w:t>
            </w:r>
          </w:p>
        </w:tc>
      </w:tr>
      <w:tr w:rsidR="00357062" w14:paraId="18789112" w14:textId="77777777" w:rsidTr="00AE38B7">
        <w:tc>
          <w:tcPr>
            <w:tcW w:w="9350" w:type="dxa"/>
            <w:gridSpan w:val="2"/>
            <w:shd w:val="clear" w:color="auto" w:fill="D9D9D9" w:themeFill="background1" w:themeFillShade="D9"/>
          </w:tcPr>
          <w:p w14:paraId="7EF502C7" w14:textId="102EFF61" w:rsidR="00357062" w:rsidRPr="004E4D8D" w:rsidRDefault="00357062">
            <w:pPr>
              <w:rPr>
                <w:b/>
                <w:bCs/>
              </w:rPr>
            </w:pPr>
            <w:r w:rsidRPr="004E4D8D">
              <w:rPr>
                <w:b/>
                <w:bCs/>
              </w:rPr>
              <w:t>Brief explanation of format (e.g., virtual, synchronous, asynchronous):</w:t>
            </w:r>
          </w:p>
        </w:tc>
      </w:tr>
      <w:tr w:rsidR="00357062" w14:paraId="033651A1" w14:textId="77777777" w:rsidTr="00357062">
        <w:tc>
          <w:tcPr>
            <w:tcW w:w="9350" w:type="dxa"/>
            <w:gridSpan w:val="2"/>
          </w:tcPr>
          <w:p w14:paraId="5B5415AD" w14:textId="4AF2ED98" w:rsidR="00357062" w:rsidRDefault="00635D59">
            <w:r>
              <w:t>Asynchronous course with Synchronous Communities of Practice</w:t>
            </w:r>
          </w:p>
          <w:p w14:paraId="2F34448B" w14:textId="6C001C8C" w:rsidR="00614A03" w:rsidRDefault="00614A03"/>
        </w:tc>
      </w:tr>
      <w:tr w:rsidR="00357062" w14:paraId="7251EF7B" w14:textId="77777777" w:rsidTr="00AE38B7">
        <w:tc>
          <w:tcPr>
            <w:tcW w:w="9350" w:type="dxa"/>
            <w:gridSpan w:val="2"/>
            <w:shd w:val="clear" w:color="auto" w:fill="D9D9D9" w:themeFill="background1" w:themeFillShade="D9"/>
          </w:tcPr>
          <w:p w14:paraId="3EB9A093" w14:textId="46F02F2C" w:rsidR="00357062" w:rsidRPr="004E4D8D" w:rsidRDefault="00357062">
            <w:pPr>
              <w:rPr>
                <w:b/>
                <w:bCs/>
              </w:rPr>
            </w:pPr>
            <w:r w:rsidRPr="004E4D8D">
              <w:rPr>
                <w:b/>
                <w:bCs/>
              </w:rPr>
              <w:t>Brief explanation of professional learning experience:</w:t>
            </w:r>
          </w:p>
        </w:tc>
      </w:tr>
      <w:tr w:rsidR="00357062" w14:paraId="749012CC" w14:textId="77777777" w:rsidTr="00357062">
        <w:tc>
          <w:tcPr>
            <w:tcW w:w="9350" w:type="dxa"/>
            <w:gridSpan w:val="2"/>
          </w:tcPr>
          <w:p w14:paraId="01D460D4" w14:textId="77777777" w:rsidR="00635D59" w:rsidRDefault="00635D59">
            <w:r w:rsidRPr="00635D59">
              <w:rPr>
                <w:b/>
                <w:bCs/>
                <w:i/>
                <w:iCs/>
              </w:rPr>
              <w:t>Pathways to Proficient Reading</w:t>
            </w:r>
            <w:r>
              <w:t xml:space="preserve"> is designed to empower educators to transform their instruction by applying their specialized knowledge in the science of reading to increase student literacy outcomes through evidence-based diagnostic and prescriptive instruction and intervention. This interactive, online course is aligned to the IDA Knowledge and Practice Standards, meets RIDE’s Proficiency Expectation. </w:t>
            </w:r>
            <w:r>
              <w:t xml:space="preserve">The </w:t>
            </w:r>
            <w:r>
              <w:t xml:space="preserve">course work </w:t>
            </w:r>
            <w:r>
              <w:t>will allow practitioners to</w:t>
            </w:r>
            <w:r>
              <w:t xml:space="preserve"> translate theoretical models into the evidence</w:t>
            </w:r>
            <w:r>
              <w:t>-</w:t>
            </w:r>
            <w:r>
              <w:t>based instructional practices</w:t>
            </w:r>
            <w:r>
              <w:t>. AIM Pathways to Proficient reading includes</w:t>
            </w:r>
            <w:r>
              <w:t xml:space="preserve"> 6 synchronous, virtual-community-of</w:t>
            </w:r>
            <w:r>
              <w:t>-</w:t>
            </w:r>
            <w:r>
              <w:t xml:space="preserve">practice meetings. These meetings are focused on implementation and are facilitated by an </w:t>
            </w:r>
            <w:r>
              <w:t xml:space="preserve">expert </w:t>
            </w:r>
            <w:r>
              <w:t xml:space="preserve">AIM Pathways </w:t>
            </w:r>
            <w:r>
              <w:t>facilitator</w:t>
            </w:r>
            <w:r>
              <w:t xml:space="preserve">. </w:t>
            </w:r>
          </w:p>
          <w:p w14:paraId="6EE7893F" w14:textId="77777777" w:rsidR="00635D59" w:rsidRDefault="00635D59"/>
          <w:p w14:paraId="008E31E2" w14:textId="77777777" w:rsidR="00635D59" w:rsidRDefault="00635D59">
            <w:r>
              <w:t xml:space="preserve">All the course work and virtual-community-of-practice meetings are designed to follow a Learn, Practice, and Apply Cycle: </w:t>
            </w:r>
          </w:p>
          <w:p w14:paraId="49227120" w14:textId="77777777" w:rsidR="00635D59" w:rsidRDefault="00635D59">
            <w:r>
              <w:t>• Learn – Participants acquire knowledge by interacting with video lectures,</w:t>
            </w:r>
            <w:r>
              <w:t xml:space="preserve"> </w:t>
            </w:r>
            <w:r>
              <w:t xml:space="preserve">articles, animated videos, and more. </w:t>
            </w:r>
          </w:p>
          <w:p w14:paraId="36B6F9D4" w14:textId="77777777" w:rsidR="00635D59" w:rsidRDefault="00635D59">
            <w:r>
              <w:t xml:space="preserve">• Practice – Participants practice newly acquired knowledge through card-sorting exercises, quizzes, and surveys. </w:t>
            </w:r>
          </w:p>
          <w:p w14:paraId="6AB9EE79" w14:textId="77777777" w:rsidR="00635D59" w:rsidRDefault="00635D59">
            <w:r>
              <w:t>• Apply – Participants apply their understanding of the content to real-life simulations and case studies. These in-depth, multi-step classroom scenarios give educators a chance to hone their diagnostic and prescriptive instructional decision-making skills.</w:t>
            </w:r>
          </w:p>
          <w:p w14:paraId="327D03FB" w14:textId="77777777" w:rsidR="00635D59" w:rsidRDefault="00635D59"/>
          <w:p w14:paraId="21FCA699" w14:textId="611D50D0" w:rsidR="00614A03" w:rsidRDefault="00635D59" w:rsidP="00635D59">
            <w:r>
              <w:t xml:space="preserve">AIM Pathways </w:t>
            </w:r>
            <w:r>
              <w:t xml:space="preserve">to Proficient Reading </w:t>
            </w:r>
            <w:r>
              <w:t xml:space="preserve">includes several downloadable and printable resources for educators to use in classroom planning and instruction, including AIM’s Oral Language Talking Deck, sample unit and lesson plans, student manipulatives, and intervention tools. The reference library is easily searchable on all digital devices. </w:t>
            </w:r>
          </w:p>
        </w:tc>
      </w:tr>
      <w:tr w:rsidR="00C94932" w14:paraId="68D971AA" w14:textId="77777777" w:rsidTr="001C4EED">
        <w:tc>
          <w:tcPr>
            <w:tcW w:w="9350" w:type="dxa"/>
            <w:gridSpan w:val="2"/>
            <w:shd w:val="clear" w:color="auto" w:fill="D9D9D9" w:themeFill="background1" w:themeFillShade="D9"/>
          </w:tcPr>
          <w:p w14:paraId="2CE41B61" w14:textId="77777777" w:rsidR="00C94932" w:rsidRPr="004E4D8D" w:rsidRDefault="00C94932">
            <w:pPr>
              <w:rPr>
                <w:b/>
                <w:bCs/>
              </w:rPr>
            </w:pPr>
            <w:r w:rsidRPr="004E4D8D">
              <w:rPr>
                <w:b/>
                <w:bCs/>
              </w:rPr>
              <w:lastRenderedPageBreak/>
              <w:t>Recomm</w:t>
            </w:r>
            <w:r w:rsidR="001C4EED" w:rsidRPr="004E4D8D">
              <w:rPr>
                <w:b/>
                <w:bCs/>
              </w:rPr>
              <w:t xml:space="preserve">endation: </w:t>
            </w:r>
          </w:p>
          <w:p w14:paraId="6A26AD76" w14:textId="7E997D17" w:rsidR="001C4EED" w:rsidRPr="001C4EED" w:rsidRDefault="001C4EED" w:rsidP="001C4EED">
            <w:pPr>
              <w:pStyle w:val="Default"/>
              <w:rPr>
                <w:sz w:val="23"/>
                <w:szCs w:val="23"/>
              </w:rPr>
            </w:pPr>
            <w:r>
              <w:rPr>
                <w:sz w:val="23"/>
                <w:szCs w:val="23"/>
              </w:rPr>
              <w:t xml:space="preserve">While this training meets the Right to Read Act requirements for all educators needing to meet </w:t>
            </w:r>
            <w:r>
              <w:rPr>
                <w:i/>
                <w:iCs/>
                <w:sz w:val="23"/>
                <w:szCs w:val="23"/>
              </w:rPr>
              <w:t xml:space="preserve">proficiency </w:t>
            </w:r>
            <w:r>
              <w:rPr>
                <w:sz w:val="23"/>
                <w:szCs w:val="23"/>
              </w:rPr>
              <w:t xml:space="preserve">requirements, the following recommendations are offered for consideration. </w:t>
            </w:r>
          </w:p>
        </w:tc>
      </w:tr>
      <w:tr w:rsidR="001C4EED" w14:paraId="443581ED" w14:textId="77777777" w:rsidTr="004E4D8D">
        <w:tc>
          <w:tcPr>
            <w:tcW w:w="4675" w:type="dxa"/>
            <w:shd w:val="clear" w:color="auto" w:fill="D9D9D9" w:themeFill="background1" w:themeFillShade="D9"/>
          </w:tcPr>
          <w:p w14:paraId="228FAEB9" w14:textId="4B14ABBD" w:rsidR="001C4EED" w:rsidRDefault="001C4EED">
            <w:r>
              <w:t>Classroom Educators</w:t>
            </w:r>
          </w:p>
        </w:tc>
        <w:tc>
          <w:tcPr>
            <w:tcW w:w="4675" w:type="dxa"/>
            <w:shd w:val="clear" w:color="auto" w:fill="auto"/>
          </w:tcPr>
          <w:p w14:paraId="24BEBBC0" w14:textId="55777E01" w:rsidR="001C4EED" w:rsidRDefault="00635D59">
            <w:r>
              <w:t xml:space="preserve">Recommended </w:t>
            </w:r>
          </w:p>
        </w:tc>
      </w:tr>
      <w:tr w:rsidR="001C4EED" w14:paraId="3D34EB69" w14:textId="77777777" w:rsidTr="004E4D8D">
        <w:tc>
          <w:tcPr>
            <w:tcW w:w="4675" w:type="dxa"/>
            <w:shd w:val="clear" w:color="auto" w:fill="D9D9D9" w:themeFill="background1" w:themeFillShade="D9"/>
          </w:tcPr>
          <w:p w14:paraId="5E90655F" w14:textId="2C719A6A" w:rsidR="001C4EED" w:rsidRPr="004E4D8D" w:rsidRDefault="00A178DC" w:rsidP="004E4D8D">
            <w:pPr>
              <w:pStyle w:val="Default"/>
              <w:rPr>
                <w:sz w:val="23"/>
                <w:szCs w:val="23"/>
              </w:rPr>
            </w:pPr>
            <w:r>
              <w:rPr>
                <w:sz w:val="23"/>
                <w:szCs w:val="23"/>
              </w:rPr>
              <w:t xml:space="preserve">Specialists, Tier II and Tier III Instructors </w:t>
            </w:r>
          </w:p>
        </w:tc>
        <w:tc>
          <w:tcPr>
            <w:tcW w:w="4675" w:type="dxa"/>
            <w:shd w:val="clear" w:color="auto" w:fill="auto"/>
          </w:tcPr>
          <w:p w14:paraId="5AF3273B" w14:textId="45A4E587" w:rsidR="001C4EED" w:rsidRDefault="00635D59">
            <w:r>
              <w:t>Recommended with follow-up AIM Pathways to Structured Literacy</w:t>
            </w:r>
          </w:p>
        </w:tc>
      </w:tr>
      <w:tr w:rsidR="001C4EED" w14:paraId="0ED51EE6" w14:textId="77777777" w:rsidTr="004E4D8D">
        <w:tc>
          <w:tcPr>
            <w:tcW w:w="4675" w:type="dxa"/>
            <w:shd w:val="clear" w:color="auto" w:fill="D9D9D9" w:themeFill="background1" w:themeFillShade="D9"/>
          </w:tcPr>
          <w:p w14:paraId="774B03F2" w14:textId="51CBE918" w:rsidR="001C4EED" w:rsidRDefault="004E4D8D">
            <w:r w:rsidRPr="004E4D8D">
              <w:t>Administrators (Awareness)</w:t>
            </w:r>
          </w:p>
        </w:tc>
        <w:tc>
          <w:tcPr>
            <w:tcW w:w="4675" w:type="dxa"/>
            <w:shd w:val="clear" w:color="auto" w:fill="auto"/>
          </w:tcPr>
          <w:p w14:paraId="638C0CD4" w14:textId="1F44D730" w:rsidR="001C4EED" w:rsidRDefault="00635D59">
            <w:r>
              <w:t xml:space="preserve">We recommend school leaders take AIM Pathways to Literacy Leadership. </w:t>
            </w:r>
          </w:p>
        </w:tc>
      </w:tr>
      <w:tr w:rsidR="00357062" w14:paraId="4D0E0509" w14:textId="77777777" w:rsidTr="00AE38B7">
        <w:tc>
          <w:tcPr>
            <w:tcW w:w="9350" w:type="dxa"/>
            <w:gridSpan w:val="2"/>
            <w:shd w:val="clear" w:color="auto" w:fill="D9D9D9" w:themeFill="background1" w:themeFillShade="D9"/>
          </w:tcPr>
          <w:p w14:paraId="019505D9" w14:textId="32C22A49" w:rsidR="00357062" w:rsidRPr="004E4D8D" w:rsidRDefault="00930F3D">
            <w:pPr>
              <w:rPr>
                <w:b/>
                <w:bCs/>
              </w:rPr>
            </w:pPr>
            <w:r w:rsidRPr="004E4D8D">
              <w:rPr>
                <w:b/>
                <w:bCs/>
              </w:rPr>
              <w:t>Length of Training and Associated Costs:</w:t>
            </w:r>
          </w:p>
        </w:tc>
      </w:tr>
      <w:tr w:rsidR="00EC0F8A" w14:paraId="1B6E07BC" w14:textId="77777777" w:rsidTr="00C55003">
        <w:tc>
          <w:tcPr>
            <w:tcW w:w="4675" w:type="dxa"/>
          </w:tcPr>
          <w:p w14:paraId="37AF8274" w14:textId="77777777" w:rsidR="00EC0F8A" w:rsidRDefault="00EC0F8A"/>
          <w:p w14:paraId="1441C144" w14:textId="77777777" w:rsidR="007801B5" w:rsidRDefault="00635D59">
            <w:r>
              <w:t xml:space="preserve">Option A (55 hours) </w:t>
            </w:r>
          </w:p>
          <w:p w14:paraId="16142E0F" w14:textId="77777777" w:rsidR="007801B5" w:rsidRDefault="00635D59" w:rsidP="007801B5">
            <w:pPr>
              <w:pStyle w:val="ListParagraph"/>
              <w:numPr>
                <w:ilvl w:val="0"/>
                <w:numId w:val="1"/>
              </w:numPr>
            </w:pPr>
            <w:r>
              <w:t>1-year license for Pathways to Proficient Reading</w:t>
            </w:r>
          </w:p>
          <w:p w14:paraId="251F7713" w14:textId="77777777" w:rsidR="007801B5" w:rsidRDefault="00635D59" w:rsidP="007801B5">
            <w:pPr>
              <w:pStyle w:val="ListParagraph"/>
              <w:numPr>
                <w:ilvl w:val="0"/>
                <w:numId w:val="1"/>
              </w:numPr>
            </w:pPr>
            <w:r>
              <w:t xml:space="preserve">Orientation Session and administration of AIM Pathway </w:t>
            </w:r>
            <w:r w:rsidR="007801B5">
              <w:t xml:space="preserve">Pre and Post </w:t>
            </w:r>
            <w:r>
              <w:t>Knowledge Inventor</w:t>
            </w:r>
            <w:r w:rsidR="007801B5">
              <w:t>ies</w:t>
            </w:r>
          </w:p>
          <w:p w14:paraId="4A67BEEF" w14:textId="5C3FA1A3" w:rsidR="00FB0D22" w:rsidRDefault="00635D59" w:rsidP="007801B5">
            <w:pPr>
              <w:pStyle w:val="ListParagraph"/>
              <w:numPr>
                <w:ilvl w:val="0"/>
                <w:numId w:val="1"/>
              </w:numPr>
            </w:pPr>
            <w:r>
              <w:t>6 Extended Virtual Community of Practice Sessions (75 minutes per session)</w:t>
            </w:r>
          </w:p>
          <w:p w14:paraId="29FBF471" w14:textId="73FCF59F" w:rsidR="00FB0D22" w:rsidRDefault="00FB0D22"/>
        </w:tc>
        <w:tc>
          <w:tcPr>
            <w:tcW w:w="4675" w:type="dxa"/>
          </w:tcPr>
          <w:p w14:paraId="5BB726D3" w14:textId="77777777" w:rsidR="00635D59" w:rsidRDefault="00635D59"/>
          <w:p w14:paraId="0F6471CA" w14:textId="43DB954F" w:rsidR="00EC0F8A" w:rsidRPr="00930F3D" w:rsidRDefault="00635D59">
            <w:r>
              <w:t>$</w:t>
            </w:r>
            <w:r w:rsidR="007801B5">
              <w:t>7</w:t>
            </w:r>
            <w:r>
              <w:t>50 per user $</w:t>
            </w:r>
            <w:r w:rsidR="007801B5">
              <w:t>18,750</w:t>
            </w:r>
            <w:r>
              <w:t xml:space="preserve"> per cohort </w:t>
            </w:r>
          </w:p>
        </w:tc>
      </w:tr>
      <w:tr w:rsidR="007801B5" w14:paraId="2CC6E981" w14:textId="77777777" w:rsidTr="00C55003">
        <w:tc>
          <w:tcPr>
            <w:tcW w:w="4675" w:type="dxa"/>
          </w:tcPr>
          <w:p w14:paraId="362C5686" w14:textId="77777777" w:rsidR="007801B5" w:rsidRDefault="007801B5">
            <w:r>
              <w:t xml:space="preserve">Option B (55 hours) </w:t>
            </w:r>
          </w:p>
          <w:p w14:paraId="179C5934" w14:textId="77777777" w:rsidR="007801B5" w:rsidRDefault="007801B5" w:rsidP="007801B5">
            <w:pPr>
              <w:pStyle w:val="ListParagraph"/>
              <w:numPr>
                <w:ilvl w:val="0"/>
                <w:numId w:val="2"/>
              </w:numPr>
            </w:pPr>
            <w:r>
              <w:t>2-year license for Pathways to Proficient Reading</w:t>
            </w:r>
          </w:p>
          <w:p w14:paraId="3F244579" w14:textId="77777777" w:rsidR="007801B5" w:rsidRDefault="007801B5" w:rsidP="007801B5">
            <w:pPr>
              <w:pStyle w:val="ListParagraph"/>
              <w:numPr>
                <w:ilvl w:val="0"/>
                <w:numId w:val="2"/>
              </w:numPr>
            </w:pPr>
            <w:r>
              <w:t xml:space="preserve">Orientation Session and administration of AIM Pathway </w:t>
            </w:r>
            <w:r>
              <w:t xml:space="preserve">Pre and Post </w:t>
            </w:r>
            <w:r>
              <w:t xml:space="preserve">Knowledge Inventory </w:t>
            </w:r>
          </w:p>
          <w:p w14:paraId="770644F5" w14:textId="15DFA0B0" w:rsidR="007801B5" w:rsidRDefault="007801B5" w:rsidP="007801B5">
            <w:pPr>
              <w:pStyle w:val="ListParagraph"/>
              <w:numPr>
                <w:ilvl w:val="0"/>
                <w:numId w:val="2"/>
              </w:numPr>
            </w:pPr>
            <w:r>
              <w:t>6 Extended Virtual Community of Practice Sessions (75 minutes per session)</w:t>
            </w:r>
          </w:p>
        </w:tc>
        <w:tc>
          <w:tcPr>
            <w:tcW w:w="4675" w:type="dxa"/>
          </w:tcPr>
          <w:p w14:paraId="0D3CAE2B" w14:textId="77777777" w:rsidR="007801B5" w:rsidRDefault="007801B5"/>
          <w:p w14:paraId="469066DC" w14:textId="193A876D" w:rsidR="007801B5" w:rsidRDefault="007801B5">
            <w:r>
              <w:t>$</w:t>
            </w:r>
            <w:r>
              <w:t>8</w:t>
            </w:r>
            <w:r>
              <w:t>50 per user $</w:t>
            </w:r>
            <w:r>
              <w:t>21,250</w:t>
            </w:r>
            <w:r>
              <w:t xml:space="preserve"> per cohort</w:t>
            </w:r>
          </w:p>
        </w:tc>
      </w:tr>
      <w:tr w:rsidR="007801B5" w14:paraId="467EC1E3" w14:textId="77777777" w:rsidTr="00C55003">
        <w:tc>
          <w:tcPr>
            <w:tcW w:w="4675" w:type="dxa"/>
          </w:tcPr>
          <w:p w14:paraId="77ADEBCF" w14:textId="77777777" w:rsidR="007801B5" w:rsidRDefault="007801B5">
            <w:r>
              <w:t xml:space="preserve">Option C (50-55 hours) </w:t>
            </w:r>
          </w:p>
          <w:p w14:paraId="688DA2D1" w14:textId="77777777" w:rsidR="007801B5" w:rsidRDefault="007801B5" w:rsidP="007801B5">
            <w:pPr>
              <w:pStyle w:val="ListParagraph"/>
              <w:numPr>
                <w:ilvl w:val="0"/>
                <w:numId w:val="3"/>
              </w:numPr>
            </w:pPr>
            <w:r>
              <w:t xml:space="preserve">1-year license for Pathways to Proficient Reading </w:t>
            </w:r>
          </w:p>
          <w:p w14:paraId="40D22D24" w14:textId="77777777" w:rsidR="007801B5" w:rsidRDefault="007801B5" w:rsidP="007801B5">
            <w:pPr>
              <w:pStyle w:val="ListParagraph"/>
              <w:numPr>
                <w:ilvl w:val="0"/>
                <w:numId w:val="3"/>
              </w:numPr>
            </w:pPr>
            <w:r>
              <w:t xml:space="preserve">Orientation Session and administration of AIM Pathway </w:t>
            </w:r>
            <w:r>
              <w:t xml:space="preserve">Pre and Post </w:t>
            </w:r>
            <w:r>
              <w:t xml:space="preserve">Knowledge Inventory </w:t>
            </w:r>
          </w:p>
          <w:p w14:paraId="0C2DB626" w14:textId="2F6B4210" w:rsidR="007801B5" w:rsidRDefault="007801B5" w:rsidP="007801B5">
            <w:pPr>
              <w:pStyle w:val="ListParagraph"/>
              <w:numPr>
                <w:ilvl w:val="0"/>
                <w:numId w:val="3"/>
              </w:numPr>
            </w:pPr>
            <w:r>
              <w:t>6 Virtual Community of Practice Sessions (60 minutes per session)</w:t>
            </w:r>
          </w:p>
        </w:tc>
        <w:tc>
          <w:tcPr>
            <w:tcW w:w="4675" w:type="dxa"/>
          </w:tcPr>
          <w:p w14:paraId="7E9B1269" w14:textId="77777777" w:rsidR="007801B5" w:rsidRDefault="007801B5"/>
          <w:p w14:paraId="50B18D18" w14:textId="1E1E533D" w:rsidR="007801B5" w:rsidRDefault="007801B5">
            <w:r>
              <w:t>$750 per user $18,750 per cohort</w:t>
            </w:r>
          </w:p>
        </w:tc>
      </w:tr>
    </w:tbl>
    <w:p w14:paraId="12122BDA" w14:textId="1BB7D1D0" w:rsidR="00357062" w:rsidRDefault="00357062"/>
    <w:sectPr w:rsidR="00357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76464"/>
    <w:multiLevelType w:val="hybridMultilevel"/>
    <w:tmpl w:val="30E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91576"/>
    <w:multiLevelType w:val="hybridMultilevel"/>
    <w:tmpl w:val="2A1C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46FAB"/>
    <w:multiLevelType w:val="hybridMultilevel"/>
    <w:tmpl w:val="7062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740678">
    <w:abstractNumId w:val="1"/>
  </w:num>
  <w:num w:numId="2" w16cid:durableId="852382153">
    <w:abstractNumId w:val="2"/>
  </w:num>
  <w:num w:numId="3" w16cid:durableId="7190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62"/>
    <w:rsid w:val="0006609D"/>
    <w:rsid w:val="00072258"/>
    <w:rsid w:val="000D6995"/>
    <w:rsid w:val="00176525"/>
    <w:rsid w:val="001B211A"/>
    <w:rsid w:val="001C4EED"/>
    <w:rsid w:val="00357062"/>
    <w:rsid w:val="003E29D6"/>
    <w:rsid w:val="004E4D8D"/>
    <w:rsid w:val="00502796"/>
    <w:rsid w:val="00614A03"/>
    <w:rsid w:val="00635D59"/>
    <w:rsid w:val="007801B5"/>
    <w:rsid w:val="007B6AA8"/>
    <w:rsid w:val="00930F3D"/>
    <w:rsid w:val="00A178DC"/>
    <w:rsid w:val="00AE38B7"/>
    <w:rsid w:val="00C32092"/>
    <w:rsid w:val="00C94932"/>
    <w:rsid w:val="00DC108E"/>
    <w:rsid w:val="00EC0F8A"/>
    <w:rsid w:val="00F95D29"/>
    <w:rsid w:val="00FB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2270"/>
  <w15:chartTrackingRefBased/>
  <w15:docId w15:val="{EB58645B-5322-422C-B393-66EA321C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4EE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35D59"/>
    <w:rPr>
      <w:color w:val="0563C1" w:themeColor="hyperlink"/>
      <w:u w:val="single"/>
    </w:rPr>
  </w:style>
  <w:style w:type="character" w:styleId="UnresolvedMention">
    <w:name w:val="Unresolved Mention"/>
    <w:basedOn w:val="DefaultParagraphFont"/>
    <w:uiPriority w:val="99"/>
    <w:semiHidden/>
    <w:unhideWhenUsed/>
    <w:rsid w:val="00635D59"/>
    <w:rPr>
      <w:color w:val="605E5C"/>
      <w:shd w:val="clear" w:color="auto" w:fill="E1DFDD"/>
    </w:rPr>
  </w:style>
  <w:style w:type="paragraph" w:styleId="ListParagraph">
    <w:name w:val="List Paragraph"/>
    <w:basedOn w:val="Normal"/>
    <w:uiPriority w:val="34"/>
    <w:qFormat/>
    <w:rsid w:val="00780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sulting@aim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C082FB70648849E3BE961B643A0" ma:contentTypeVersion="18" ma:contentTypeDescription="Create a new document." ma:contentTypeScope="" ma:versionID="bab355f77f06e19679a0576690d374ed">
  <xsd:schema xmlns:xsd="http://www.w3.org/2001/XMLSchema" xmlns:xs="http://www.w3.org/2001/XMLSchema" xmlns:p="http://schemas.microsoft.com/office/2006/metadata/properties" xmlns:ns1="http://schemas.microsoft.com/sharepoint/v3" xmlns:ns2="6a1f635c-d292-4469-a7df-b4015b1ad9f2" xmlns:ns3="fb4ce569-0273-4228-9157-33b14876d013" targetNamespace="http://schemas.microsoft.com/office/2006/metadata/properties" ma:root="true" ma:fieldsID="1671b88c99b1a0bff2fc003545162f50" ns1:_="" ns2:_="" ns3:_="">
    <xsd:import namespace="http://schemas.microsoft.com/sharepoint/v3"/>
    <xsd:import namespace="6a1f635c-d292-4469-a7df-b4015b1ad9f2"/>
    <xsd:import namespace="fb4ce569-0273-4228-9157-33b14876d0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f635c-d292-4469-a7df-b4015b1ad9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a1f635c-d292-4469-a7df-b4015b1ad9f2">
      <Terms xmlns="http://schemas.microsoft.com/office/infopath/2007/PartnerControls"/>
    </lcf76f155ced4ddcb4097134ff3c332f>
    <TaxCatchAll xmlns="fb4ce569-0273-4228-9157-33b14876d013" xsi:nil="true"/>
  </documentManagement>
</p:properties>
</file>

<file path=customXml/itemProps1.xml><?xml version="1.0" encoding="utf-8"?>
<ds:datastoreItem xmlns:ds="http://schemas.openxmlformats.org/officeDocument/2006/customXml" ds:itemID="{4267DECB-6DEF-4F53-A036-016DE1526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1f635c-d292-4469-a7df-b4015b1ad9f2"/>
    <ds:schemaRef ds:uri="fb4ce569-0273-4228-9157-33b14876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50315-3DEE-47B8-8880-21A3457A36EF}">
  <ds:schemaRefs>
    <ds:schemaRef ds:uri="http://schemas.microsoft.com/sharepoint/v3/contenttype/forms"/>
  </ds:schemaRefs>
</ds:datastoreItem>
</file>

<file path=customXml/itemProps3.xml><?xml version="1.0" encoding="utf-8"?>
<ds:datastoreItem xmlns:ds="http://schemas.openxmlformats.org/officeDocument/2006/customXml" ds:itemID="{BFD91DE6-E7E1-49C8-9816-DA0756621F24}">
  <ds:schemaRefs>
    <ds:schemaRef ds:uri="http://schemas.microsoft.com/office/2006/metadata/properties"/>
    <ds:schemaRef ds:uri="http://schemas.microsoft.com/office/infopath/2007/PartnerControls"/>
    <ds:schemaRef ds:uri="http://schemas.microsoft.com/sharepoint/v3"/>
    <ds:schemaRef ds:uri="6a1f635c-d292-4469-a7df-b4015b1ad9f2"/>
    <ds:schemaRef ds:uri="fb4ce569-0273-4228-9157-33b14876d0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RIDE</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Clayton</dc:creator>
  <cp:keywords/>
  <dc:description/>
  <cp:lastModifiedBy>Cynthia Hadicke</cp:lastModifiedBy>
  <cp:revision>2</cp:revision>
  <dcterms:created xsi:type="dcterms:W3CDTF">2024-07-19T13:42:00Z</dcterms:created>
  <dcterms:modified xsi:type="dcterms:W3CDTF">2024-07-19T13:42:00Z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0x0101007CA5AC082FB70648849E3BE961B643A0</vt:lpwstr>
  </property>
  <property fmtid="{D5CDD505-2E9C-101B-9397-08002B2CF9AE}" pid="3" name="MediaServiceImageTags">
    <vt:lpwstr/>
  </property>
</Properties>
</file>