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7CA53" w14:textId="77777777" w:rsidR="00D34530" w:rsidRDefault="00D34530" w:rsidP="00D34530">
      <w:pPr>
        <w:pStyle w:val="Heading3"/>
      </w:pPr>
      <w:r>
        <w:t xml:space="preserve">Tool A: </w:t>
      </w:r>
      <w:r w:rsidRPr="00182795">
        <w:t>Intellectual Functioning Tool</w:t>
      </w:r>
    </w:p>
    <w:p w14:paraId="1739BC07" w14:textId="77777777" w:rsidR="00D34530" w:rsidRDefault="00D34530" w:rsidP="00D34530">
      <w:pPr>
        <w:spacing w:before="0" w:after="0"/>
        <w:rPr>
          <w:rFonts w:eastAsia="Calibri" w:cs="Open Sans Light"/>
          <w:bCs/>
          <w:sz w:val="20"/>
        </w:rPr>
      </w:pPr>
    </w:p>
    <w:p w14:paraId="1CEF2546" w14:textId="77777777" w:rsidR="00D34530" w:rsidRPr="001D03FF" w:rsidRDefault="00D34530" w:rsidP="00D34530">
      <w:pPr>
        <w:spacing w:before="0" w:after="0"/>
        <w:rPr>
          <w:rFonts w:eastAsia="Calibri" w:cs="Open Sans Light"/>
          <w:bCs/>
          <w:szCs w:val="22"/>
        </w:rPr>
      </w:pPr>
      <w:r w:rsidRPr="001D03FF">
        <w:rPr>
          <w:rFonts w:eastAsia="Calibri" w:cs="Open Sans Light"/>
          <w:bCs/>
          <w:szCs w:val="22"/>
        </w:rPr>
        <w:t>Student Name: __________________________________________ Date: _________________________</w:t>
      </w:r>
    </w:p>
    <w:p w14:paraId="1D75A1E8" w14:textId="77777777" w:rsidR="00D34530" w:rsidRDefault="00D34530" w:rsidP="00D34530">
      <w:pPr>
        <w:spacing w:before="0" w:after="0"/>
        <w:rPr>
          <w:rFonts w:eastAsia="Calibri" w:cs="Open Sans Light"/>
          <w:bCs/>
          <w:szCs w:val="22"/>
        </w:rPr>
      </w:pPr>
    </w:p>
    <w:p w14:paraId="44D112F4" w14:textId="77777777" w:rsidR="00D34530" w:rsidRPr="00657DB6" w:rsidRDefault="00D34530" w:rsidP="00D34530">
      <w:pPr>
        <w:rPr>
          <w:rFonts w:eastAsia="Calibri"/>
        </w:rPr>
      </w:pPr>
      <w:r w:rsidRPr="376BDC3E">
        <w:rPr>
          <w:rFonts w:eastAsia="Calibri" w:cs="Open Sans Light"/>
          <w:b/>
          <w:bCs/>
        </w:rPr>
        <w:t>Directions:</w:t>
      </w:r>
      <w:r w:rsidRPr="376BDC3E">
        <w:rPr>
          <w:rFonts w:eastAsia="Calibri" w:cs="Open Sans Light"/>
        </w:rPr>
        <w:t xml:space="preserve"> Fill in the names, dates, and results of each evaluation done. The completed rubric must be included in the student’s </w:t>
      </w:r>
      <w:r>
        <w:rPr>
          <w:rFonts w:eastAsia="Calibri" w:cs="Open Sans Light"/>
        </w:rPr>
        <w:t>special education record</w:t>
      </w:r>
      <w:r w:rsidRPr="376BDC3E">
        <w:rPr>
          <w:rFonts w:eastAsia="Calibri" w:cs="Open Sans Light"/>
        </w:rPr>
        <w:t xml:space="preserve"> and provided to the family along with the IEP. </w:t>
      </w:r>
    </w:p>
    <w:tbl>
      <w:tblPr>
        <w:tblStyle w:val="ListTable3-Accent5"/>
        <w:tblW w:w="10541" w:type="dxa"/>
        <w:tblBorders>
          <w:top w:val="single" w:sz="4" w:space="0" w:color="3E8853"/>
          <w:left w:val="single" w:sz="4" w:space="0" w:color="3E8853"/>
          <w:bottom w:val="single" w:sz="4" w:space="0" w:color="3E8853"/>
          <w:right w:val="single" w:sz="4" w:space="0" w:color="3E8853"/>
          <w:insideH w:val="single" w:sz="4" w:space="0" w:color="3E8853"/>
          <w:insideV w:val="single" w:sz="4" w:space="0" w:color="3E8853"/>
        </w:tblBorders>
        <w:tblLook w:val="04A0" w:firstRow="1" w:lastRow="0" w:firstColumn="1" w:lastColumn="0" w:noHBand="0" w:noVBand="1"/>
      </w:tblPr>
      <w:tblGrid>
        <w:gridCol w:w="2428"/>
        <w:gridCol w:w="3013"/>
        <w:gridCol w:w="1506"/>
        <w:gridCol w:w="3594"/>
      </w:tblGrid>
      <w:tr w:rsidR="00D34530" w:rsidRPr="00C613F3" w14:paraId="1D64580E" w14:textId="77777777" w:rsidTr="00D345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28" w:type="dxa"/>
            <w:tcBorders>
              <w:bottom w:val="none" w:sz="0" w:space="0" w:color="auto"/>
              <w:right w:val="none" w:sz="0" w:space="0" w:color="auto"/>
            </w:tcBorders>
            <w:shd w:val="clear" w:color="auto" w:fill="3E8853"/>
            <w:vAlign w:val="center"/>
          </w:tcPr>
          <w:p w14:paraId="23D0F408" w14:textId="77777777" w:rsidR="00D34530" w:rsidRPr="008E0F93" w:rsidRDefault="00D34530" w:rsidP="00E60C1D">
            <w:pPr>
              <w:tabs>
                <w:tab w:val="left" w:pos="10080"/>
              </w:tabs>
              <w:spacing w:before="40" w:after="40"/>
              <w:jc w:val="center"/>
              <w:rPr>
                <w:rFonts w:eastAsia="Calibri" w:cs="Open Sans Light"/>
                <w:bCs w:val="0"/>
              </w:rPr>
            </w:pPr>
            <w:r w:rsidRPr="008E0F93">
              <w:rPr>
                <w:rFonts w:eastAsia="Calibri" w:cs="Open Sans Light"/>
                <w:bCs w:val="0"/>
              </w:rPr>
              <w:t>Type of Evaluation</w:t>
            </w:r>
          </w:p>
        </w:tc>
        <w:tc>
          <w:tcPr>
            <w:tcW w:w="3013" w:type="dxa"/>
            <w:shd w:val="clear" w:color="auto" w:fill="3E8853"/>
            <w:vAlign w:val="center"/>
          </w:tcPr>
          <w:p w14:paraId="222EA522" w14:textId="77777777" w:rsidR="00D34530" w:rsidRPr="008E0F93" w:rsidRDefault="00D34530" w:rsidP="00E60C1D">
            <w:pPr>
              <w:tabs>
                <w:tab w:val="left" w:pos="10080"/>
              </w:tabs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Open Sans Light"/>
                <w:bCs w:val="0"/>
              </w:rPr>
            </w:pPr>
            <w:r w:rsidRPr="008E0F93">
              <w:rPr>
                <w:rFonts w:eastAsia="Calibri" w:cs="Open Sans Light"/>
                <w:bCs w:val="0"/>
              </w:rPr>
              <w:t>Name of Evaluation</w:t>
            </w:r>
          </w:p>
        </w:tc>
        <w:tc>
          <w:tcPr>
            <w:tcW w:w="1506" w:type="dxa"/>
            <w:shd w:val="clear" w:color="auto" w:fill="3E8853"/>
            <w:vAlign w:val="center"/>
          </w:tcPr>
          <w:p w14:paraId="7281D51A" w14:textId="77777777" w:rsidR="00D34530" w:rsidRPr="008E0F93" w:rsidRDefault="00D34530" w:rsidP="00E60C1D">
            <w:pPr>
              <w:tabs>
                <w:tab w:val="left" w:pos="10080"/>
              </w:tabs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Open Sans Light"/>
                <w:bCs w:val="0"/>
              </w:rPr>
            </w:pPr>
            <w:r w:rsidRPr="008E0F93">
              <w:rPr>
                <w:rFonts w:eastAsia="Calibri" w:cs="Open Sans Light"/>
                <w:bCs w:val="0"/>
              </w:rPr>
              <w:t>Date</w:t>
            </w:r>
          </w:p>
        </w:tc>
        <w:tc>
          <w:tcPr>
            <w:tcW w:w="3594" w:type="dxa"/>
            <w:shd w:val="clear" w:color="auto" w:fill="3E8853"/>
            <w:vAlign w:val="center"/>
          </w:tcPr>
          <w:p w14:paraId="79D938C8" w14:textId="77777777" w:rsidR="00D34530" w:rsidRPr="008E0F93" w:rsidRDefault="00D34530" w:rsidP="00E60C1D">
            <w:pPr>
              <w:tabs>
                <w:tab w:val="left" w:pos="10080"/>
              </w:tabs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Open Sans Light"/>
                <w:bCs w:val="0"/>
              </w:rPr>
            </w:pPr>
            <w:r w:rsidRPr="008E0F93">
              <w:rPr>
                <w:rFonts w:eastAsia="Calibri" w:cs="Open Sans Light"/>
                <w:bCs w:val="0"/>
              </w:rPr>
              <w:t>Results</w:t>
            </w:r>
          </w:p>
        </w:tc>
      </w:tr>
      <w:tr w:rsidR="00D34530" w:rsidRPr="00C613F3" w14:paraId="435DEFAB" w14:textId="77777777" w:rsidTr="00D3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D92CD41" w14:textId="77777777" w:rsidR="00D34530" w:rsidRPr="008E0F93" w:rsidRDefault="00D34530" w:rsidP="00E60C1D">
            <w:pPr>
              <w:tabs>
                <w:tab w:val="left" w:pos="10080"/>
              </w:tabs>
              <w:spacing w:before="40" w:after="40"/>
              <w:jc w:val="right"/>
              <w:rPr>
                <w:rFonts w:eastAsia="Calibri" w:cs="Open Sans Light"/>
                <w:bCs w:val="0"/>
              </w:rPr>
            </w:pPr>
            <w:r w:rsidRPr="008E0F93">
              <w:rPr>
                <w:rFonts w:eastAsia="Calibri" w:cs="Open Sans Light"/>
                <w:bCs w:val="0"/>
              </w:rPr>
              <w:t>Individual Cognitive Ability Evaluation</w:t>
            </w:r>
          </w:p>
        </w:tc>
        <w:tc>
          <w:tcPr>
            <w:tcW w:w="301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3D90AFB" w14:textId="77777777" w:rsidR="00D34530" w:rsidRPr="008E0F93" w:rsidRDefault="00D34530" w:rsidP="00E60C1D">
            <w:pPr>
              <w:tabs>
                <w:tab w:val="left" w:pos="10080"/>
              </w:tabs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Open Sans Light"/>
                <w:bCs/>
              </w:rPr>
            </w:pPr>
          </w:p>
        </w:tc>
        <w:tc>
          <w:tcPr>
            <w:tcW w:w="150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8872D40" w14:textId="77777777" w:rsidR="00D34530" w:rsidRPr="008E0F93" w:rsidRDefault="00D34530" w:rsidP="00E60C1D">
            <w:pPr>
              <w:tabs>
                <w:tab w:val="left" w:pos="10080"/>
              </w:tabs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Open Sans Light"/>
                <w:bCs/>
              </w:rPr>
            </w:pPr>
          </w:p>
        </w:tc>
        <w:tc>
          <w:tcPr>
            <w:tcW w:w="359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4DFEA03" w14:textId="77777777" w:rsidR="00D34530" w:rsidRPr="008E0F93" w:rsidRDefault="00D34530" w:rsidP="00E60C1D">
            <w:pPr>
              <w:tabs>
                <w:tab w:val="left" w:pos="10080"/>
              </w:tabs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Open Sans Light"/>
                <w:bCs/>
              </w:rPr>
            </w:pPr>
            <w:r w:rsidRPr="008E0F93">
              <w:rPr>
                <w:rFonts w:eastAsia="Calibri" w:cs="Open Sans Light"/>
                <w:bCs/>
              </w:rPr>
              <w:t>Full scale IQ:</w:t>
            </w:r>
          </w:p>
          <w:p w14:paraId="3D212EEF" w14:textId="77777777" w:rsidR="00D34530" w:rsidRPr="008E0F93" w:rsidRDefault="00D34530" w:rsidP="00E60C1D">
            <w:pPr>
              <w:tabs>
                <w:tab w:val="left" w:pos="10080"/>
              </w:tabs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Open Sans Light"/>
                <w:bCs/>
              </w:rPr>
            </w:pPr>
            <w:r w:rsidRPr="008E0F93">
              <w:rPr>
                <w:rFonts w:eastAsia="Calibri" w:cs="Open Sans Light"/>
                <w:bCs/>
              </w:rPr>
              <w:t>Visual/Spatial:</w:t>
            </w:r>
          </w:p>
          <w:p w14:paraId="3D12695B" w14:textId="77777777" w:rsidR="00D34530" w:rsidRPr="008E0F93" w:rsidRDefault="00D34530" w:rsidP="00E60C1D">
            <w:pPr>
              <w:tabs>
                <w:tab w:val="left" w:pos="10080"/>
              </w:tabs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Open Sans Light"/>
                <w:bCs/>
              </w:rPr>
            </w:pPr>
            <w:r w:rsidRPr="008E0F93">
              <w:rPr>
                <w:rFonts w:eastAsia="Calibri" w:cs="Open Sans Light"/>
                <w:bCs/>
              </w:rPr>
              <w:t>Fluid Reasoning:</w:t>
            </w:r>
          </w:p>
          <w:p w14:paraId="06609C6F" w14:textId="77777777" w:rsidR="00D34530" w:rsidRPr="008E0F93" w:rsidRDefault="00D34530" w:rsidP="00E60C1D">
            <w:pPr>
              <w:tabs>
                <w:tab w:val="left" w:pos="10080"/>
              </w:tabs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Open Sans Light"/>
                <w:bCs/>
              </w:rPr>
            </w:pPr>
            <w:r w:rsidRPr="008E0F93">
              <w:rPr>
                <w:rFonts w:eastAsia="Calibri" w:cs="Open Sans Light"/>
                <w:bCs/>
              </w:rPr>
              <w:t>Working Memory:</w:t>
            </w:r>
          </w:p>
        </w:tc>
      </w:tr>
      <w:tr w:rsidR="00D34530" w:rsidRPr="00C613F3" w14:paraId="135B1FE4" w14:textId="77777777" w:rsidTr="00D34530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  <w:tcBorders>
              <w:right w:val="none" w:sz="0" w:space="0" w:color="auto"/>
            </w:tcBorders>
            <w:vAlign w:val="center"/>
          </w:tcPr>
          <w:p w14:paraId="05C04672" w14:textId="77777777" w:rsidR="00D34530" w:rsidRPr="008E0F93" w:rsidRDefault="00D34530" w:rsidP="00E60C1D">
            <w:pPr>
              <w:tabs>
                <w:tab w:val="left" w:pos="10080"/>
              </w:tabs>
              <w:spacing w:before="40" w:after="40"/>
              <w:jc w:val="right"/>
              <w:rPr>
                <w:rFonts w:eastAsia="Calibri" w:cs="Open Sans Light"/>
                <w:bCs w:val="0"/>
              </w:rPr>
            </w:pPr>
            <w:r w:rsidRPr="008E0F93">
              <w:rPr>
                <w:rFonts w:eastAsia="Calibri" w:cs="Open Sans Light"/>
                <w:bCs w:val="0"/>
              </w:rPr>
              <w:t>Speech Evaluation</w:t>
            </w:r>
          </w:p>
        </w:tc>
        <w:tc>
          <w:tcPr>
            <w:tcW w:w="3013" w:type="dxa"/>
            <w:vAlign w:val="center"/>
          </w:tcPr>
          <w:p w14:paraId="3C5B364A" w14:textId="77777777" w:rsidR="00D34530" w:rsidRPr="008E0F93" w:rsidRDefault="00D34530" w:rsidP="00E60C1D">
            <w:pPr>
              <w:tabs>
                <w:tab w:val="left" w:pos="10080"/>
              </w:tabs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Open Sans Light"/>
                <w:bCs/>
              </w:rPr>
            </w:pPr>
          </w:p>
        </w:tc>
        <w:tc>
          <w:tcPr>
            <w:tcW w:w="1506" w:type="dxa"/>
            <w:vAlign w:val="center"/>
          </w:tcPr>
          <w:p w14:paraId="123E9B8A" w14:textId="77777777" w:rsidR="00D34530" w:rsidRPr="008E0F93" w:rsidRDefault="00D34530" w:rsidP="00E60C1D">
            <w:pPr>
              <w:tabs>
                <w:tab w:val="left" w:pos="10080"/>
              </w:tabs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Open Sans Light"/>
                <w:bCs/>
              </w:rPr>
            </w:pPr>
          </w:p>
        </w:tc>
        <w:tc>
          <w:tcPr>
            <w:tcW w:w="3594" w:type="dxa"/>
            <w:vAlign w:val="center"/>
          </w:tcPr>
          <w:p w14:paraId="06E1AAC5" w14:textId="77777777" w:rsidR="00D34530" w:rsidRPr="008E0F93" w:rsidRDefault="00D34530" w:rsidP="00E60C1D">
            <w:pPr>
              <w:tabs>
                <w:tab w:val="left" w:pos="10080"/>
              </w:tabs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Open Sans Light"/>
                <w:bCs/>
              </w:rPr>
            </w:pPr>
            <w:r w:rsidRPr="008E0F93">
              <w:rPr>
                <w:rFonts w:eastAsia="Calibri" w:cs="Open Sans Light"/>
                <w:bCs/>
              </w:rPr>
              <w:t>Receptive</w:t>
            </w:r>
            <w:r>
              <w:rPr>
                <w:rFonts w:eastAsia="Calibri" w:cs="Open Sans Light"/>
                <w:bCs/>
              </w:rPr>
              <w:t xml:space="preserve"> Score:</w:t>
            </w:r>
          </w:p>
          <w:p w14:paraId="1A60EC6F" w14:textId="77777777" w:rsidR="00D34530" w:rsidRPr="008E0F93" w:rsidRDefault="00D34530" w:rsidP="00E60C1D">
            <w:pPr>
              <w:tabs>
                <w:tab w:val="left" w:pos="10080"/>
              </w:tabs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Open Sans Light"/>
                <w:bCs/>
              </w:rPr>
            </w:pPr>
            <w:r w:rsidRPr="008E0F93">
              <w:rPr>
                <w:rFonts w:eastAsia="Calibri" w:cs="Open Sans Light"/>
                <w:bCs/>
              </w:rPr>
              <w:t>Expressive</w:t>
            </w:r>
            <w:r>
              <w:rPr>
                <w:rFonts w:eastAsia="Calibri" w:cs="Open Sans Light"/>
                <w:bCs/>
              </w:rPr>
              <w:t xml:space="preserve"> Score:</w:t>
            </w:r>
          </w:p>
        </w:tc>
      </w:tr>
      <w:tr w:rsidR="00D34530" w:rsidRPr="00C613F3" w14:paraId="7B2D1E33" w14:textId="77777777" w:rsidTr="00D3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9E31ED5" w14:textId="77777777" w:rsidR="00D34530" w:rsidRPr="008E0F93" w:rsidRDefault="00D34530" w:rsidP="00E60C1D">
            <w:pPr>
              <w:tabs>
                <w:tab w:val="left" w:pos="10080"/>
              </w:tabs>
              <w:spacing w:before="40" w:after="40"/>
              <w:jc w:val="right"/>
              <w:rPr>
                <w:rFonts w:eastAsia="Calibri" w:cs="Open Sans Light"/>
                <w:bCs w:val="0"/>
              </w:rPr>
            </w:pPr>
            <w:proofErr w:type="spellStart"/>
            <w:r w:rsidRPr="008E0F93">
              <w:rPr>
                <w:rFonts w:eastAsia="Calibri" w:cs="Open Sans Light"/>
                <w:bCs w:val="0"/>
              </w:rPr>
              <w:t>AAC</w:t>
            </w:r>
            <w:proofErr w:type="spellEnd"/>
            <w:r w:rsidRPr="008E0F93">
              <w:rPr>
                <w:rFonts w:eastAsia="Calibri" w:cs="Open Sans Light"/>
                <w:bCs w:val="0"/>
              </w:rPr>
              <w:t xml:space="preserve"> Evaluation</w:t>
            </w:r>
          </w:p>
        </w:tc>
        <w:tc>
          <w:tcPr>
            <w:tcW w:w="301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922A347" w14:textId="77777777" w:rsidR="00D34530" w:rsidRPr="008E0F93" w:rsidRDefault="00D34530" w:rsidP="00E60C1D">
            <w:pPr>
              <w:tabs>
                <w:tab w:val="left" w:pos="10080"/>
              </w:tabs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Open Sans Light"/>
                <w:bCs/>
              </w:rPr>
            </w:pPr>
          </w:p>
        </w:tc>
        <w:tc>
          <w:tcPr>
            <w:tcW w:w="150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0DEA2BA" w14:textId="77777777" w:rsidR="00D34530" w:rsidRPr="008E0F93" w:rsidRDefault="00D34530" w:rsidP="00E60C1D">
            <w:pPr>
              <w:tabs>
                <w:tab w:val="left" w:pos="10080"/>
              </w:tabs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Open Sans Light"/>
                <w:bCs/>
              </w:rPr>
            </w:pPr>
          </w:p>
        </w:tc>
        <w:tc>
          <w:tcPr>
            <w:tcW w:w="359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8157B6F" w14:textId="77777777" w:rsidR="00D34530" w:rsidRPr="008E0F93" w:rsidRDefault="00D34530" w:rsidP="00E60C1D">
            <w:pPr>
              <w:tabs>
                <w:tab w:val="left" w:pos="10080"/>
              </w:tabs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Open Sans Light"/>
                <w:bCs/>
              </w:rPr>
            </w:pPr>
          </w:p>
        </w:tc>
      </w:tr>
      <w:tr w:rsidR="00D34530" w:rsidRPr="00C613F3" w14:paraId="289CDC47" w14:textId="77777777" w:rsidTr="00D34530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  <w:tcBorders>
              <w:right w:val="none" w:sz="0" w:space="0" w:color="auto"/>
            </w:tcBorders>
            <w:vAlign w:val="center"/>
          </w:tcPr>
          <w:p w14:paraId="0CEC724E" w14:textId="77777777" w:rsidR="00D34530" w:rsidRPr="008E0F93" w:rsidRDefault="00D34530" w:rsidP="00E60C1D">
            <w:pPr>
              <w:tabs>
                <w:tab w:val="left" w:pos="10080"/>
              </w:tabs>
              <w:spacing w:before="40" w:after="40"/>
              <w:jc w:val="right"/>
              <w:rPr>
                <w:rFonts w:eastAsia="Calibri" w:cs="Open Sans Light"/>
                <w:bCs w:val="0"/>
              </w:rPr>
            </w:pPr>
            <w:r w:rsidRPr="008E0F93">
              <w:rPr>
                <w:rFonts w:eastAsia="Calibri" w:cs="Open Sans Light"/>
                <w:bCs w:val="0"/>
              </w:rPr>
              <w:t>OTHER</w:t>
            </w:r>
          </w:p>
        </w:tc>
        <w:tc>
          <w:tcPr>
            <w:tcW w:w="3013" w:type="dxa"/>
            <w:vAlign w:val="center"/>
          </w:tcPr>
          <w:p w14:paraId="65E9E3D7" w14:textId="77777777" w:rsidR="00D34530" w:rsidRPr="008E0F93" w:rsidRDefault="00D34530" w:rsidP="00E60C1D">
            <w:pPr>
              <w:tabs>
                <w:tab w:val="left" w:pos="10080"/>
              </w:tabs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Open Sans Light"/>
                <w:bCs/>
              </w:rPr>
            </w:pPr>
          </w:p>
        </w:tc>
        <w:tc>
          <w:tcPr>
            <w:tcW w:w="1506" w:type="dxa"/>
            <w:vAlign w:val="center"/>
          </w:tcPr>
          <w:p w14:paraId="58D69036" w14:textId="77777777" w:rsidR="00D34530" w:rsidRPr="008E0F93" w:rsidRDefault="00D34530" w:rsidP="00E60C1D">
            <w:pPr>
              <w:tabs>
                <w:tab w:val="left" w:pos="10080"/>
              </w:tabs>
              <w:spacing w:before="40"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Open Sans Light"/>
                <w:bCs/>
              </w:rPr>
            </w:pPr>
          </w:p>
        </w:tc>
        <w:tc>
          <w:tcPr>
            <w:tcW w:w="3594" w:type="dxa"/>
            <w:vAlign w:val="center"/>
          </w:tcPr>
          <w:p w14:paraId="3A67510B" w14:textId="77777777" w:rsidR="00D34530" w:rsidRPr="008E0F93" w:rsidRDefault="00D34530" w:rsidP="00E60C1D">
            <w:pPr>
              <w:tabs>
                <w:tab w:val="left" w:pos="10080"/>
              </w:tabs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Open Sans Light"/>
                <w:bCs/>
              </w:rPr>
            </w:pPr>
          </w:p>
        </w:tc>
      </w:tr>
    </w:tbl>
    <w:p w14:paraId="24BB5BFF" w14:textId="77777777" w:rsidR="00D34530" w:rsidRPr="007F64FD" w:rsidRDefault="00D34530" w:rsidP="00D34530">
      <w:pPr>
        <w:tabs>
          <w:tab w:val="left" w:pos="10080"/>
        </w:tabs>
        <w:ind w:left="274"/>
        <w:rPr>
          <w:rFonts w:eastAsia="Calibri" w:cs="Open Sans Light"/>
          <w:bCs/>
          <w:i/>
          <w:iCs/>
          <w:sz w:val="18"/>
          <w:szCs w:val="18"/>
        </w:rPr>
      </w:pPr>
    </w:p>
    <w:tbl>
      <w:tblPr>
        <w:tblStyle w:val="ListTable3-Accent5"/>
        <w:tblW w:w="10521" w:type="dxa"/>
        <w:tblBorders>
          <w:top w:val="single" w:sz="4" w:space="0" w:color="3E8853"/>
          <w:left w:val="single" w:sz="4" w:space="0" w:color="3E8853"/>
          <w:bottom w:val="single" w:sz="4" w:space="0" w:color="3E8853"/>
          <w:right w:val="single" w:sz="4" w:space="0" w:color="3E8853"/>
          <w:insideH w:val="single" w:sz="4" w:space="0" w:color="3E8853"/>
          <w:insideV w:val="single" w:sz="4" w:space="0" w:color="3E8853"/>
        </w:tblBorders>
        <w:tblLook w:val="04A0" w:firstRow="1" w:lastRow="0" w:firstColumn="1" w:lastColumn="0" w:noHBand="0" w:noVBand="1"/>
      </w:tblPr>
      <w:tblGrid>
        <w:gridCol w:w="2515"/>
        <w:gridCol w:w="2606"/>
        <w:gridCol w:w="2610"/>
        <w:gridCol w:w="2790"/>
      </w:tblGrid>
      <w:tr w:rsidR="00D34530" w:rsidRPr="002E7925" w14:paraId="75D82702" w14:textId="77777777" w:rsidTr="00D345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15" w:type="dxa"/>
            <w:tcBorders>
              <w:bottom w:val="none" w:sz="0" w:space="0" w:color="auto"/>
              <w:right w:val="none" w:sz="0" w:space="0" w:color="auto"/>
            </w:tcBorders>
            <w:shd w:val="clear" w:color="auto" w:fill="3E8853"/>
            <w:vAlign w:val="center"/>
          </w:tcPr>
          <w:p w14:paraId="42C51510" w14:textId="5B55DF8C" w:rsidR="00D34530" w:rsidRPr="00AB7560" w:rsidRDefault="00D34530" w:rsidP="00E60C1D">
            <w:pPr>
              <w:jc w:val="center"/>
              <w:rPr>
                <w:rFonts w:cs="Open Sans Light"/>
                <w:b w:val="0"/>
                <w:bCs w:val="0"/>
                <w:szCs w:val="22"/>
              </w:rPr>
            </w:pPr>
            <w:r>
              <w:rPr>
                <w:rFonts w:cs="Open Sans Light"/>
                <w:szCs w:val="22"/>
              </w:rPr>
              <w:t>Average Cognitive Ability</w:t>
            </w:r>
          </w:p>
        </w:tc>
        <w:tc>
          <w:tcPr>
            <w:tcW w:w="2606" w:type="dxa"/>
            <w:shd w:val="clear" w:color="auto" w:fill="3E8853"/>
            <w:vAlign w:val="center"/>
          </w:tcPr>
          <w:p w14:paraId="1DC5CEF9" w14:textId="77777777" w:rsidR="00D34530" w:rsidRPr="00AB7560" w:rsidRDefault="00D34530" w:rsidP="00E60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Open Sans Light"/>
                <w:b w:val="0"/>
                <w:bCs w:val="0"/>
                <w:szCs w:val="22"/>
              </w:rPr>
            </w:pPr>
          </w:p>
        </w:tc>
        <w:tc>
          <w:tcPr>
            <w:tcW w:w="2610" w:type="dxa"/>
            <w:shd w:val="clear" w:color="auto" w:fill="3E8853"/>
            <w:vAlign w:val="center"/>
          </w:tcPr>
          <w:p w14:paraId="48A1D6DC" w14:textId="086DDFA5" w:rsidR="00D34530" w:rsidRPr="00AB7560" w:rsidRDefault="00D34530" w:rsidP="00E60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Open Sans Light"/>
                <w:b w:val="0"/>
                <w:bCs w:val="0"/>
                <w:szCs w:val="22"/>
              </w:rPr>
            </w:pPr>
            <w:r>
              <w:rPr>
                <w:rFonts w:cs="Open Sans Light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2BF220" wp14:editId="17700926">
                      <wp:simplePos x="0" y="0"/>
                      <wp:positionH relativeFrom="column">
                        <wp:posOffset>-1668780</wp:posOffset>
                      </wp:positionH>
                      <wp:positionV relativeFrom="paragraph">
                        <wp:posOffset>46355</wp:posOffset>
                      </wp:positionV>
                      <wp:extent cx="3324225" cy="276225"/>
                      <wp:effectExtent l="0" t="19050" r="47625" b="47625"/>
                      <wp:wrapNone/>
                      <wp:docPr id="3" name="Arrow: Righ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4225" cy="27622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4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E747C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3" o:spid="_x0000_s1026" type="#_x0000_t13" style="position:absolute;margin-left:-131.4pt;margin-top:3.65pt;width:261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" adj="20703" fillcolor="white [3212]" strokecolor="#fff2cc [663]" strokeweight="1pt"/>
                  </w:pict>
                </mc:Fallback>
              </mc:AlternateContent>
            </w:r>
          </w:p>
        </w:tc>
        <w:tc>
          <w:tcPr>
            <w:tcW w:w="2790" w:type="dxa"/>
            <w:shd w:val="clear" w:color="auto" w:fill="3E8853"/>
            <w:vAlign w:val="center"/>
          </w:tcPr>
          <w:p w14:paraId="03BC9CCD" w14:textId="77777777" w:rsidR="00D34530" w:rsidRPr="00AB7560" w:rsidRDefault="00D34530" w:rsidP="00E60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Open Sans Light"/>
                <w:b w:val="0"/>
                <w:bCs w:val="0"/>
                <w:szCs w:val="22"/>
              </w:rPr>
            </w:pPr>
            <w:r w:rsidRPr="00AB7560">
              <w:rPr>
                <w:rFonts w:cs="Open Sans Light"/>
                <w:szCs w:val="22"/>
              </w:rPr>
              <w:t xml:space="preserve">Most Significant Cognitive </w:t>
            </w:r>
            <w:r>
              <w:rPr>
                <w:rFonts w:cs="Open Sans Light"/>
                <w:szCs w:val="22"/>
              </w:rPr>
              <w:t>Disability</w:t>
            </w:r>
          </w:p>
        </w:tc>
      </w:tr>
      <w:tr w:rsidR="00D34530" w:rsidRPr="002E7925" w14:paraId="7FE89C95" w14:textId="77777777" w:rsidTr="00D3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shd w:val="clear" w:color="auto" w:fill="7EC492"/>
            <w:vAlign w:val="center"/>
          </w:tcPr>
          <w:p w14:paraId="005D5CF5" w14:textId="77777777" w:rsidR="00D34530" w:rsidRPr="00D34530" w:rsidRDefault="00D34530" w:rsidP="00E60C1D">
            <w:pPr>
              <w:spacing w:before="40" w:after="40"/>
              <w:jc w:val="center"/>
              <w:rPr>
                <w:rFonts w:cs="Open Sans Light"/>
                <w:noProof/>
                <w:color w:val="FFFFFF" w:themeColor="background1"/>
                <w:sz w:val="22"/>
                <w:szCs w:val="24"/>
              </w:rPr>
            </w:pPr>
            <w:r w:rsidRPr="00D34530">
              <w:rPr>
                <w:rFonts w:cs="Open Sans Light"/>
                <w:noProof/>
                <w:color w:val="FFFFFF" w:themeColor="background1"/>
                <w:sz w:val="22"/>
                <w:szCs w:val="24"/>
              </w:rPr>
              <w:t>1</w:t>
            </w:r>
          </w:p>
        </w:tc>
        <w:tc>
          <w:tcPr>
            <w:tcW w:w="2606" w:type="dxa"/>
            <w:shd w:val="clear" w:color="auto" w:fill="7EC492"/>
            <w:vAlign w:val="center"/>
          </w:tcPr>
          <w:p w14:paraId="18C3E5C5" w14:textId="77777777" w:rsidR="00D34530" w:rsidRPr="00D34530" w:rsidRDefault="00D34530" w:rsidP="00E60C1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 Light"/>
                <w:b/>
                <w:bCs/>
                <w:color w:val="FFFFFF" w:themeColor="background1"/>
                <w:sz w:val="22"/>
                <w:szCs w:val="24"/>
              </w:rPr>
            </w:pPr>
            <w:r w:rsidRPr="00D34530">
              <w:rPr>
                <w:rFonts w:cs="Open Sans Light"/>
                <w:b/>
                <w:bCs/>
                <w:color w:val="FFFFFF" w:themeColor="background1"/>
                <w:sz w:val="22"/>
                <w:szCs w:val="24"/>
              </w:rPr>
              <w:t>2</w:t>
            </w:r>
          </w:p>
        </w:tc>
        <w:tc>
          <w:tcPr>
            <w:tcW w:w="2610" w:type="dxa"/>
            <w:shd w:val="clear" w:color="auto" w:fill="7EC492"/>
            <w:vAlign w:val="center"/>
          </w:tcPr>
          <w:p w14:paraId="2E5263FA" w14:textId="77777777" w:rsidR="00D34530" w:rsidRPr="00D34530" w:rsidRDefault="00D34530" w:rsidP="00E60C1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 Light"/>
                <w:b/>
                <w:bCs/>
                <w:color w:val="FFFFFF" w:themeColor="background1"/>
                <w:sz w:val="22"/>
                <w:szCs w:val="24"/>
              </w:rPr>
            </w:pPr>
            <w:r w:rsidRPr="00D34530">
              <w:rPr>
                <w:rFonts w:cs="Open Sans Light"/>
                <w:b/>
                <w:bCs/>
                <w:color w:val="FFFFFF" w:themeColor="background1"/>
                <w:sz w:val="22"/>
                <w:szCs w:val="24"/>
              </w:rPr>
              <w:t>3</w:t>
            </w:r>
          </w:p>
        </w:tc>
        <w:tc>
          <w:tcPr>
            <w:tcW w:w="2790" w:type="dxa"/>
            <w:shd w:val="clear" w:color="auto" w:fill="7EC492"/>
            <w:vAlign w:val="center"/>
          </w:tcPr>
          <w:p w14:paraId="29D23283" w14:textId="77777777" w:rsidR="00D34530" w:rsidRPr="00D34530" w:rsidRDefault="00D34530" w:rsidP="00E60C1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 Light"/>
                <w:b/>
                <w:bCs/>
                <w:color w:val="FFFFFF" w:themeColor="background1"/>
                <w:sz w:val="22"/>
                <w:szCs w:val="24"/>
              </w:rPr>
            </w:pPr>
            <w:r w:rsidRPr="00D34530">
              <w:rPr>
                <w:rFonts w:cs="Open Sans Light"/>
                <w:b/>
                <w:bCs/>
                <w:color w:val="FFFFFF" w:themeColor="background1"/>
                <w:sz w:val="22"/>
                <w:szCs w:val="24"/>
              </w:rPr>
              <w:t>4</w:t>
            </w:r>
          </w:p>
        </w:tc>
      </w:tr>
      <w:tr w:rsidR="00D34530" w:rsidRPr="002E7925" w14:paraId="443DD725" w14:textId="77777777" w:rsidTr="00D3453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1" w:type="dxa"/>
            <w:gridSpan w:val="4"/>
            <w:tcBorders>
              <w:right w:val="none" w:sz="0" w:space="0" w:color="auto"/>
            </w:tcBorders>
            <w:shd w:val="clear" w:color="auto" w:fill="D3EBDA"/>
          </w:tcPr>
          <w:p w14:paraId="19CC0DE5" w14:textId="77777777" w:rsidR="00D34530" w:rsidRPr="00182795" w:rsidRDefault="00D34530" w:rsidP="00E60C1D">
            <w:pPr>
              <w:spacing w:before="60" w:after="60"/>
              <w:rPr>
                <w:rFonts w:cs="Open Sans Light"/>
              </w:rPr>
            </w:pPr>
            <w:r w:rsidRPr="4BB99A23">
              <w:rPr>
                <w:rFonts w:cs="Open Sans Light"/>
              </w:rPr>
              <w:t>Verbal Intelligence/Cognition (related to language skills)</w:t>
            </w:r>
          </w:p>
        </w:tc>
      </w:tr>
      <w:tr w:rsidR="00D34530" w:rsidRPr="002E7925" w14:paraId="4E6F59F6" w14:textId="77777777" w:rsidTr="00D3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1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3EBDA"/>
          </w:tcPr>
          <w:p w14:paraId="13736ED3" w14:textId="77777777" w:rsidR="00D34530" w:rsidRPr="00DE2E4A" w:rsidRDefault="00D34530" w:rsidP="00E60C1D">
            <w:pPr>
              <w:spacing w:before="60" w:after="60"/>
              <w:rPr>
                <w:rFonts w:cs="Open Sans Light"/>
                <w:b w:val="0"/>
                <w:bCs w:val="0"/>
                <w:i/>
                <w:iCs/>
              </w:rPr>
            </w:pPr>
            <w:r w:rsidRPr="00DE2E4A">
              <w:rPr>
                <w:rFonts w:cs="Open Sans Light"/>
                <w:b w:val="0"/>
                <w:bCs w:val="0"/>
                <w:i/>
                <w:iCs/>
              </w:rPr>
              <w:t xml:space="preserve">Comments: </w:t>
            </w:r>
          </w:p>
        </w:tc>
      </w:tr>
      <w:tr w:rsidR="00D34530" w:rsidRPr="002E7925" w14:paraId="69DA2B49" w14:textId="77777777" w:rsidTr="00D34530">
        <w:trPr>
          <w:trHeight w:val="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right w:val="none" w:sz="0" w:space="0" w:color="auto"/>
            </w:tcBorders>
          </w:tcPr>
          <w:p w14:paraId="20DB0CE2" w14:textId="77777777" w:rsidR="00D34530" w:rsidRPr="00762141" w:rsidRDefault="00D34530" w:rsidP="00E60C1D">
            <w:pPr>
              <w:spacing w:before="60" w:after="60"/>
              <w:rPr>
                <w:rFonts w:cs="Open Sans Light"/>
                <w:b w:val="0"/>
                <w:bCs w:val="0"/>
              </w:rPr>
            </w:pPr>
            <w:r w:rsidRPr="00762141">
              <w:rPr>
                <w:rFonts w:cs="Open Sans Light"/>
                <w:b w:val="0"/>
                <w:bCs w:val="0"/>
              </w:rPr>
              <w:t>Verbal intelligence in average range or above (85</w:t>
            </w:r>
            <w:r>
              <w:rPr>
                <w:rFonts w:cs="Open Sans Light"/>
                <w:b w:val="0"/>
                <w:bCs w:val="0"/>
              </w:rPr>
              <w:t xml:space="preserve"> </w:t>
            </w:r>
            <w:r w:rsidRPr="00762141">
              <w:rPr>
                <w:rFonts w:cs="Open Sans Light"/>
                <w:b w:val="0"/>
                <w:bCs w:val="0"/>
              </w:rPr>
              <w:t>or above)</w:t>
            </w:r>
            <w:r>
              <w:rPr>
                <w:rFonts w:cs="Open Sans Light"/>
                <w:b w:val="0"/>
                <w:bCs w:val="0"/>
              </w:rPr>
              <w:t>.</w:t>
            </w:r>
          </w:p>
        </w:tc>
        <w:tc>
          <w:tcPr>
            <w:tcW w:w="2606" w:type="dxa"/>
          </w:tcPr>
          <w:p w14:paraId="0E89FDC4" w14:textId="77777777" w:rsidR="00D34530" w:rsidRPr="00B020CD" w:rsidRDefault="00D34530" w:rsidP="00E60C1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 Light"/>
              </w:rPr>
            </w:pPr>
            <w:r w:rsidRPr="00B020CD">
              <w:rPr>
                <w:rFonts w:cs="Open Sans Light"/>
              </w:rPr>
              <w:t>Verbal Intelligence 1 to 2 standard deviations below the mean (between 84 and 76).</w:t>
            </w:r>
          </w:p>
        </w:tc>
        <w:tc>
          <w:tcPr>
            <w:tcW w:w="2610" w:type="dxa"/>
          </w:tcPr>
          <w:p w14:paraId="5ED8FC80" w14:textId="77777777" w:rsidR="00D34530" w:rsidRPr="00B020CD" w:rsidRDefault="00D34530" w:rsidP="00E60C1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 Light"/>
              </w:rPr>
            </w:pPr>
            <w:r w:rsidRPr="00B020CD">
              <w:rPr>
                <w:rFonts w:cs="Open Sans Light"/>
              </w:rPr>
              <w:t>Verbal Intelligence 2 to 2.5 standard deviations below the mean (between 75 and 64).</w:t>
            </w:r>
          </w:p>
        </w:tc>
        <w:tc>
          <w:tcPr>
            <w:tcW w:w="2790" w:type="dxa"/>
          </w:tcPr>
          <w:p w14:paraId="455BB276" w14:textId="77777777" w:rsidR="00D34530" w:rsidRPr="00182795" w:rsidRDefault="00D34530" w:rsidP="00E60C1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 Light"/>
              </w:rPr>
            </w:pPr>
            <w:r w:rsidRPr="00182795">
              <w:rPr>
                <w:rFonts w:cs="Open Sans Light"/>
              </w:rPr>
              <w:t xml:space="preserve">Verbal Intelligence 2.5 </w:t>
            </w:r>
            <w:r>
              <w:rPr>
                <w:rFonts w:cs="Open Sans Light"/>
              </w:rPr>
              <w:t>standard deviations</w:t>
            </w:r>
            <w:r w:rsidRPr="00182795">
              <w:rPr>
                <w:rFonts w:cs="Open Sans Light"/>
              </w:rPr>
              <w:t xml:space="preserve"> or more below</w:t>
            </w:r>
            <w:r>
              <w:rPr>
                <w:rFonts w:cs="Open Sans Light"/>
              </w:rPr>
              <w:t xml:space="preserve"> the</w:t>
            </w:r>
            <w:r w:rsidRPr="00182795">
              <w:rPr>
                <w:rFonts w:cs="Open Sans Light"/>
              </w:rPr>
              <w:t xml:space="preserve"> mean (63 or lower)</w:t>
            </w:r>
            <w:r>
              <w:rPr>
                <w:rFonts w:cs="Open Sans Light"/>
              </w:rPr>
              <w:t>.</w:t>
            </w:r>
          </w:p>
        </w:tc>
      </w:tr>
      <w:tr w:rsidR="00D34530" w:rsidRPr="002E7925" w14:paraId="42660AD0" w14:textId="77777777" w:rsidTr="00D3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1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3EBDA"/>
          </w:tcPr>
          <w:p w14:paraId="71BB883A" w14:textId="77777777" w:rsidR="00D34530" w:rsidRPr="00B020CD" w:rsidRDefault="00D34530" w:rsidP="00E60C1D">
            <w:pPr>
              <w:spacing w:before="60" w:after="60"/>
              <w:rPr>
                <w:rFonts w:cs="Open Sans Light"/>
              </w:rPr>
            </w:pPr>
            <w:r w:rsidRPr="00B020CD">
              <w:rPr>
                <w:rFonts w:cs="Open Sans Light"/>
              </w:rPr>
              <w:t>Nonverbal Intelligence/Cognition (related to nonverbal reasoning, visual/spatial, nonverbal memory)</w:t>
            </w:r>
          </w:p>
        </w:tc>
      </w:tr>
      <w:tr w:rsidR="00D34530" w:rsidRPr="002E7925" w14:paraId="6ED0FDAD" w14:textId="77777777" w:rsidTr="00D3453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1" w:type="dxa"/>
            <w:gridSpan w:val="4"/>
            <w:tcBorders>
              <w:right w:val="none" w:sz="0" w:space="0" w:color="auto"/>
            </w:tcBorders>
            <w:shd w:val="clear" w:color="auto" w:fill="D3EBDA"/>
          </w:tcPr>
          <w:p w14:paraId="5FB99D36" w14:textId="77777777" w:rsidR="00D34530" w:rsidRPr="00DE2E4A" w:rsidRDefault="00D34530" w:rsidP="00E60C1D">
            <w:pPr>
              <w:spacing w:before="60" w:after="60"/>
              <w:rPr>
                <w:rFonts w:cs="Open Sans Light"/>
                <w:b w:val="0"/>
                <w:bCs w:val="0"/>
                <w:i/>
                <w:iCs/>
              </w:rPr>
            </w:pPr>
            <w:r w:rsidRPr="00DE2E4A">
              <w:rPr>
                <w:rFonts w:cs="Open Sans Light"/>
                <w:b w:val="0"/>
                <w:bCs w:val="0"/>
                <w:i/>
                <w:iCs/>
              </w:rPr>
              <w:t>Comments:</w:t>
            </w:r>
          </w:p>
        </w:tc>
      </w:tr>
      <w:tr w:rsidR="00D34530" w:rsidRPr="002E7925" w14:paraId="09C14C81" w14:textId="77777777" w:rsidTr="00D3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2A0C69D" w14:textId="77777777" w:rsidR="00D34530" w:rsidRPr="00762141" w:rsidRDefault="00D34530" w:rsidP="00E60C1D">
            <w:pPr>
              <w:spacing w:before="60" w:after="60"/>
              <w:rPr>
                <w:rFonts w:cs="Open Sans Light"/>
                <w:b w:val="0"/>
                <w:bCs w:val="0"/>
              </w:rPr>
            </w:pPr>
            <w:r w:rsidRPr="00762141">
              <w:rPr>
                <w:rFonts w:cs="Open Sans Light"/>
                <w:b w:val="0"/>
                <w:bCs w:val="0"/>
              </w:rPr>
              <w:t>Non-verbal intelligence in average range or above (85</w:t>
            </w:r>
            <w:r>
              <w:rPr>
                <w:rFonts w:cs="Open Sans Light"/>
                <w:b w:val="0"/>
                <w:bCs w:val="0"/>
              </w:rPr>
              <w:t xml:space="preserve"> </w:t>
            </w:r>
            <w:r w:rsidRPr="00762141">
              <w:rPr>
                <w:rFonts w:cs="Open Sans Light"/>
                <w:b w:val="0"/>
                <w:bCs w:val="0"/>
              </w:rPr>
              <w:t>or above)</w:t>
            </w:r>
            <w:r>
              <w:rPr>
                <w:rFonts w:cs="Open Sans Light"/>
                <w:b w:val="0"/>
                <w:bCs w:val="0"/>
              </w:rPr>
              <w:t>.</w:t>
            </w:r>
          </w:p>
        </w:tc>
        <w:tc>
          <w:tcPr>
            <w:tcW w:w="2606" w:type="dxa"/>
            <w:tcBorders>
              <w:top w:val="none" w:sz="0" w:space="0" w:color="auto"/>
              <w:bottom w:val="none" w:sz="0" w:space="0" w:color="auto"/>
            </w:tcBorders>
          </w:tcPr>
          <w:p w14:paraId="4CF05D1C" w14:textId="77777777" w:rsidR="00D34530" w:rsidRPr="00182795" w:rsidRDefault="00D34530" w:rsidP="00E60C1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 Light"/>
              </w:rPr>
            </w:pPr>
            <w:r w:rsidRPr="00182795">
              <w:rPr>
                <w:rFonts w:cs="Open Sans Light"/>
              </w:rPr>
              <w:t xml:space="preserve">Non-verbal Intelligence 1 to 2 </w:t>
            </w:r>
            <w:r w:rsidRPr="003A5B7E">
              <w:rPr>
                <w:rFonts w:cs="Open Sans Light"/>
              </w:rPr>
              <w:t xml:space="preserve">standard deviations below the mean </w:t>
            </w:r>
            <w:r w:rsidRPr="00182795">
              <w:rPr>
                <w:rFonts w:cs="Open Sans Light"/>
              </w:rPr>
              <w:t>(84-7</w:t>
            </w:r>
            <w:r>
              <w:rPr>
                <w:rFonts w:cs="Open Sans Light"/>
              </w:rPr>
              <w:t>6</w:t>
            </w:r>
            <w:r w:rsidRPr="00182795">
              <w:rPr>
                <w:rFonts w:cs="Open Sans Light"/>
              </w:rPr>
              <w:t>)</w:t>
            </w:r>
            <w:r>
              <w:rPr>
                <w:rFonts w:cs="Open Sans Light"/>
              </w:rPr>
              <w:t>.</w:t>
            </w:r>
          </w:p>
        </w:tc>
        <w:tc>
          <w:tcPr>
            <w:tcW w:w="2610" w:type="dxa"/>
            <w:tcBorders>
              <w:top w:val="none" w:sz="0" w:space="0" w:color="auto"/>
              <w:bottom w:val="none" w:sz="0" w:space="0" w:color="auto"/>
            </w:tcBorders>
          </w:tcPr>
          <w:p w14:paraId="3C30E07A" w14:textId="77777777" w:rsidR="00D34530" w:rsidRPr="00182795" w:rsidRDefault="00D34530" w:rsidP="00E60C1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 Light"/>
              </w:rPr>
            </w:pPr>
            <w:r w:rsidRPr="00182795">
              <w:rPr>
                <w:rFonts w:cs="Open Sans Light"/>
              </w:rPr>
              <w:t xml:space="preserve">Non-verbal Intelligence 2 </w:t>
            </w:r>
            <w:r>
              <w:rPr>
                <w:rFonts w:cs="Open Sans Light"/>
              </w:rPr>
              <w:t xml:space="preserve">to 2.5 </w:t>
            </w:r>
            <w:r w:rsidRPr="003A5B7E">
              <w:rPr>
                <w:rFonts w:cs="Open Sans Light"/>
              </w:rPr>
              <w:t xml:space="preserve">standard deviations below the mean </w:t>
            </w:r>
            <w:r w:rsidRPr="00182795">
              <w:rPr>
                <w:rFonts w:cs="Open Sans Light"/>
              </w:rPr>
              <w:t>(7</w:t>
            </w:r>
            <w:r>
              <w:rPr>
                <w:rFonts w:cs="Open Sans Light"/>
              </w:rPr>
              <w:t>5</w:t>
            </w:r>
            <w:r w:rsidRPr="00182795">
              <w:rPr>
                <w:rFonts w:cs="Open Sans Light"/>
              </w:rPr>
              <w:t xml:space="preserve"> – 64)</w:t>
            </w:r>
            <w:r>
              <w:rPr>
                <w:rFonts w:cs="Open Sans Light"/>
              </w:rPr>
              <w:t>.</w:t>
            </w:r>
          </w:p>
        </w:tc>
        <w:tc>
          <w:tcPr>
            <w:tcW w:w="2790" w:type="dxa"/>
            <w:tcBorders>
              <w:top w:val="none" w:sz="0" w:space="0" w:color="auto"/>
              <w:bottom w:val="none" w:sz="0" w:space="0" w:color="auto"/>
            </w:tcBorders>
          </w:tcPr>
          <w:p w14:paraId="3A2071FA" w14:textId="77777777" w:rsidR="00D34530" w:rsidRPr="00182795" w:rsidRDefault="00D34530" w:rsidP="00E60C1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 Light"/>
              </w:rPr>
            </w:pPr>
            <w:r w:rsidRPr="00182795">
              <w:rPr>
                <w:rFonts w:cs="Open Sans Light"/>
              </w:rPr>
              <w:t xml:space="preserve">Non-verbal Intelligence 2.5 </w:t>
            </w:r>
            <w:r w:rsidRPr="003A5B7E">
              <w:rPr>
                <w:rFonts w:cs="Open Sans Light"/>
              </w:rPr>
              <w:t xml:space="preserve">standard deviations below the mean </w:t>
            </w:r>
            <w:r w:rsidRPr="00182795">
              <w:rPr>
                <w:rFonts w:cs="Open Sans Light"/>
              </w:rPr>
              <w:t>(63 or lower)</w:t>
            </w:r>
            <w:r>
              <w:rPr>
                <w:rFonts w:cs="Open Sans Light"/>
              </w:rPr>
              <w:t>.</w:t>
            </w:r>
          </w:p>
        </w:tc>
      </w:tr>
      <w:tr w:rsidR="00D34530" w:rsidRPr="002E7925" w14:paraId="49E7229A" w14:textId="77777777" w:rsidTr="00D34530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1" w:type="dxa"/>
            <w:gridSpan w:val="4"/>
            <w:tcBorders>
              <w:right w:val="none" w:sz="0" w:space="0" w:color="auto"/>
            </w:tcBorders>
            <w:shd w:val="clear" w:color="auto" w:fill="D3EBDA"/>
          </w:tcPr>
          <w:p w14:paraId="57A0ABAE" w14:textId="77777777" w:rsidR="00D34530" w:rsidRPr="00182795" w:rsidRDefault="00D34530" w:rsidP="00E60C1D">
            <w:pPr>
              <w:spacing w:before="60" w:after="60"/>
              <w:rPr>
                <w:rFonts w:cs="Open Sans Light"/>
              </w:rPr>
            </w:pPr>
            <w:r w:rsidRPr="00182795">
              <w:rPr>
                <w:rFonts w:cs="Open Sans Light"/>
              </w:rPr>
              <w:t>Thinking/Reasoning/Problem-Solving</w:t>
            </w:r>
          </w:p>
        </w:tc>
      </w:tr>
      <w:tr w:rsidR="00D34530" w:rsidRPr="002E7925" w14:paraId="57A01D2B" w14:textId="77777777" w:rsidTr="00D3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1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3EBDA"/>
          </w:tcPr>
          <w:p w14:paraId="43275978" w14:textId="77777777" w:rsidR="00D34530" w:rsidRPr="00DE2E4A" w:rsidRDefault="00D34530" w:rsidP="00E60C1D">
            <w:pPr>
              <w:spacing w:before="60" w:after="60"/>
              <w:rPr>
                <w:rFonts w:cs="Open Sans Light"/>
                <w:b w:val="0"/>
                <w:bCs w:val="0"/>
                <w:i/>
                <w:iCs/>
              </w:rPr>
            </w:pPr>
            <w:r w:rsidRPr="00DE2E4A">
              <w:rPr>
                <w:rFonts w:cs="Open Sans Light"/>
                <w:b w:val="0"/>
                <w:bCs w:val="0"/>
                <w:i/>
                <w:iCs/>
              </w:rPr>
              <w:t>Comments:</w:t>
            </w:r>
          </w:p>
        </w:tc>
      </w:tr>
      <w:tr w:rsidR="00D34530" w:rsidRPr="002E7925" w14:paraId="138D5F33" w14:textId="77777777" w:rsidTr="00D34530">
        <w:trPr>
          <w:trHeight w:val="1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right w:val="none" w:sz="0" w:space="0" w:color="auto"/>
            </w:tcBorders>
          </w:tcPr>
          <w:p w14:paraId="348BECE3" w14:textId="77777777" w:rsidR="00D34530" w:rsidRPr="00762141" w:rsidRDefault="00D34530" w:rsidP="00E60C1D">
            <w:pPr>
              <w:spacing w:before="60" w:after="60"/>
              <w:rPr>
                <w:rFonts w:cs="Open Sans Light"/>
                <w:b w:val="0"/>
                <w:bCs w:val="0"/>
              </w:rPr>
            </w:pPr>
            <w:r w:rsidRPr="00762141">
              <w:rPr>
                <w:rFonts w:cs="Open Sans Light"/>
                <w:b w:val="0"/>
                <w:bCs w:val="0"/>
              </w:rPr>
              <w:t>Reasoning and problem-solving skills at age-level or within average range on an assessment.</w:t>
            </w:r>
          </w:p>
        </w:tc>
        <w:tc>
          <w:tcPr>
            <w:tcW w:w="2606" w:type="dxa"/>
          </w:tcPr>
          <w:p w14:paraId="770B9A60" w14:textId="77777777" w:rsidR="00D34530" w:rsidRPr="00182795" w:rsidRDefault="00D34530" w:rsidP="00E60C1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 Light"/>
              </w:rPr>
            </w:pPr>
            <w:r w:rsidRPr="00182795">
              <w:rPr>
                <w:rFonts w:cs="Open Sans Light"/>
              </w:rPr>
              <w:t>Minimal assistance (e.g., general education interventions/supports) needed to carry out reasoning and problem-solving tasks</w:t>
            </w:r>
            <w:r>
              <w:rPr>
                <w:rFonts w:cs="Open Sans Light"/>
              </w:rPr>
              <w:t>.</w:t>
            </w:r>
          </w:p>
        </w:tc>
        <w:tc>
          <w:tcPr>
            <w:tcW w:w="2610" w:type="dxa"/>
          </w:tcPr>
          <w:p w14:paraId="132E53E2" w14:textId="77777777" w:rsidR="00D34530" w:rsidRPr="00B020CD" w:rsidRDefault="00D34530" w:rsidP="00E60C1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 Light"/>
              </w:rPr>
            </w:pPr>
            <w:r w:rsidRPr="00B020CD">
              <w:rPr>
                <w:rFonts w:cs="Open Sans Light"/>
              </w:rPr>
              <w:t>Requires moderate assistance, interventions, and supports to support learning and completing cognitive tasks involving thinking, reasoning, and problem solving.</w:t>
            </w:r>
          </w:p>
        </w:tc>
        <w:tc>
          <w:tcPr>
            <w:tcW w:w="2790" w:type="dxa"/>
          </w:tcPr>
          <w:p w14:paraId="7354B414" w14:textId="77777777" w:rsidR="00D34530" w:rsidRPr="00B020CD" w:rsidRDefault="00D34530" w:rsidP="00E60C1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 Light"/>
              </w:rPr>
            </w:pPr>
            <w:r w:rsidRPr="00B020CD">
              <w:rPr>
                <w:rFonts w:cs="Open Sans Light"/>
              </w:rPr>
              <w:t xml:space="preserve">Requires intensive and consistent assistance, interventions, and supports to support learning and completing cognitive tasks involving thinking, reasoning, and problem solving. </w:t>
            </w:r>
          </w:p>
        </w:tc>
      </w:tr>
      <w:tr w:rsidR="00D34530" w:rsidRPr="002E7925" w14:paraId="13276A12" w14:textId="77777777" w:rsidTr="00D3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1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3EBDA"/>
          </w:tcPr>
          <w:p w14:paraId="3189EBCA" w14:textId="77777777" w:rsidR="00D34530" w:rsidRPr="00182795" w:rsidRDefault="00D34530" w:rsidP="00E60C1D">
            <w:pPr>
              <w:spacing w:before="60" w:after="60"/>
              <w:rPr>
                <w:rFonts w:cs="Open Sans Light"/>
              </w:rPr>
            </w:pPr>
            <w:r w:rsidRPr="00182795">
              <w:rPr>
                <w:rFonts w:cs="Open Sans Light"/>
              </w:rPr>
              <w:t>Executive Function/Attention/Memory</w:t>
            </w:r>
          </w:p>
        </w:tc>
      </w:tr>
      <w:tr w:rsidR="00D34530" w:rsidRPr="002E7925" w14:paraId="71907809" w14:textId="77777777" w:rsidTr="00D34530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1" w:type="dxa"/>
            <w:gridSpan w:val="4"/>
            <w:tcBorders>
              <w:right w:val="none" w:sz="0" w:space="0" w:color="auto"/>
            </w:tcBorders>
            <w:shd w:val="clear" w:color="auto" w:fill="D3EBDA"/>
          </w:tcPr>
          <w:p w14:paraId="6A1CE52A" w14:textId="77777777" w:rsidR="00D34530" w:rsidRPr="00DE2E4A" w:rsidRDefault="00D34530" w:rsidP="00E60C1D">
            <w:pPr>
              <w:spacing w:before="60" w:after="60"/>
              <w:rPr>
                <w:rFonts w:cs="Open Sans Light"/>
                <w:b w:val="0"/>
                <w:bCs w:val="0"/>
                <w:i/>
                <w:iCs/>
              </w:rPr>
            </w:pPr>
            <w:r w:rsidRPr="00DE2E4A">
              <w:rPr>
                <w:rFonts w:cs="Open Sans Light"/>
                <w:b w:val="0"/>
                <w:bCs w:val="0"/>
                <w:i/>
                <w:iCs/>
              </w:rPr>
              <w:t>Comments:</w:t>
            </w:r>
          </w:p>
        </w:tc>
      </w:tr>
      <w:tr w:rsidR="00D34530" w:rsidRPr="002E7925" w14:paraId="7D7A7AB5" w14:textId="77777777" w:rsidTr="00D3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E59F42B" w14:textId="77777777" w:rsidR="00D34530" w:rsidRPr="00762141" w:rsidRDefault="00D34530" w:rsidP="00E60C1D">
            <w:pPr>
              <w:spacing w:before="60" w:after="60"/>
              <w:rPr>
                <w:rFonts w:cs="Open Sans Light"/>
                <w:b w:val="0"/>
                <w:bCs w:val="0"/>
              </w:rPr>
            </w:pPr>
            <w:r w:rsidRPr="00762141">
              <w:rPr>
                <w:rFonts w:cs="Open Sans Light"/>
                <w:b w:val="0"/>
                <w:bCs w:val="0"/>
              </w:rPr>
              <w:t>Cognitive planning and working memory at age-</w:t>
            </w:r>
            <w:r w:rsidRPr="00762141">
              <w:rPr>
                <w:rFonts w:cs="Open Sans Light"/>
                <w:b w:val="0"/>
                <w:bCs w:val="0"/>
              </w:rPr>
              <w:lastRenderedPageBreak/>
              <w:t>level or within average range on an assessment</w:t>
            </w:r>
            <w:r>
              <w:rPr>
                <w:rFonts w:cs="Open Sans Light"/>
                <w:b w:val="0"/>
                <w:bCs w:val="0"/>
              </w:rPr>
              <w:t>.</w:t>
            </w:r>
          </w:p>
        </w:tc>
        <w:tc>
          <w:tcPr>
            <w:tcW w:w="2606" w:type="dxa"/>
            <w:tcBorders>
              <w:top w:val="none" w:sz="0" w:space="0" w:color="auto"/>
              <w:bottom w:val="none" w:sz="0" w:space="0" w:color="auto"/>
            </w:tcBorders>
          </w:tcPr>
          <w:p w14:paraId="6BF8FC0C" w14:textId="77777777" w:rsidR="00D34530" w:rsidRPr="00182795" w:rsidRDefault="00D34530" w:rsidP="00E60C1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 Light"/>
              </w:rPr>
            </w:pPr>
            <w:r w:rsidRPr="00182795">
              <w:rPr>
                <w:rFonts w:cs="Open Sans Light"/>
              </w:rPr>
              <w:lastRenderedPageBreak/>
              <w:t xml:space="preserve">Minimal assistance (e.g., general education interventions/supports) </w:t>
            </w:r>
            <w:r w:rsidRPr="00182795">
              <w:rPr>
                <w:rFonts w:cs="Open Sans Light"/>
              </w:rPr>
              <w:lastRenderedPageBreak/>
              <w:t>needed to support cognitive planning and working memory</w:t>
            </w:r>
            <w:r>
              <w:rPr>
                <w:rFonts w:cs="Open Sans Light"/>
              </w:rPr>
              <w:t>.</w:t>
            </w:r>
          </w:p>
        </w:tc>
        <w:tc>
          <w:tcPr>
            <w:tcW w:w="2610" w:type="dxa"/>
            <w:tcBorders>
              <w:top w:val="none" w:sz="0" w:space="0" w:color="auto"/>
              <w:bottom w:val="none" w:sz="0" w:space="0" w:color="auto"/>
            </w:tcBorders>
          </w:tcPr>
          <w:p w14:paraId="49EA3DD0" w14:textId="77777777" w:rsidR="00D34530" w:rsidRPr="00182795" w:rsidRDefault="00D34530" w:rsidP="00E60C1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 Light"/>
              </w:rPr>
            </w:pPr>
            <w:r w:rsidRPr="4B1E387E">
              <w:rPr>
                <w:rFonts w:cs="Open Sans Light"/>
              </w:rPr>
              <w:lastRenderedPageBreak/>
              <w:t>Requires</w:t>
            </w:r>
            <w:r>
              <w:rPr>
                <w:rFonts w:cs="Open Sans Light"/>
              </w:rPr>
              <w:t xml:space="preserve"> moderate</w:t>
            </w:r>
            <w:r w:rsidRPr="4B1E387E">
              <w:rPr>
                <w:rFonts w:cs="Open Sans Light"/>
              </w:rPr>
              <w:t xml:space="preserve"> modifications and levels of scaffolding to support </w:t>
            </w:r>
            <w:r w:rsidRPr="4B1E387E">
              <w:rPr>
                <w:rFonts w:cs="Open Sans Light"/>
              </w:rPr>
              <w:lastRenderedPageBreak/>
              <w:t>cognitive planning and working memory.</w:t>
            </w:r>
          </w:p>
        </w:tc>
        <w:tc>
          <w:tcPr>
            <w:tcW w:w="2790" w:type="dxa"/>
            <w:tcBorders>
              <w:top w:val="none" w:sz="0" w:space="0" w:color="auto"/>
              <w:bottom w:val="none" w:sz="0" w:space="0" w:color="auto"/>
            </w:tcBorders>
          </w:tcPr>
          <w:p w14:paraId="3A522C4E" w14:textId="77777777" w:rsidR="00D34530" w:rsidRPr="00182795" w:rsidRDefault="00D34530" w:rsidP="00E60C1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 Light"/>
              </w:rPr>
            </w:pPr>
            <w:r w:rsidRPr="4B1E387E">
              <w:rPr>
                <w:rFonts w:cs="Open Sans Light"/>
              </w:rPr>
              <w:lastRenderedPageBreak/>
              <w:t>Requires</w:t>
            </w:r>
            <w:r>
              <w:rPr>
                <w:rFonts w:cs="Open Sans Light"/>
              </w:rPr>
              <w:t xml:space="preserve"> intensive</w:t>
            </w:r>
            <w:r w:rsidRPr="4B1E387E">
              <w:rPr>
                <w:rFonts w:cs="Open Sans Light"/>
              </w:rPr>
              <w:t xml:space="preserve"> modifications and </w:t>
            </w:r>
            <w:r>
              <w:rPr>
                <w:rFonts w:cs="Open Sans Light"/>
              </w:rPr>
              <w:t xml:space="preserve">substantial </w:t>
            </w:r>
            <w:r w:rsidRPr="4B1E387E">
              <w:rPr>
                <w:rFonts w:cs="Open Sans Light"/>
              </w:rPr>
              <w:t xml:space="preserve">levels of scaffolding to support </w:t>
            </w:r>
            <w:r w:rsidRPr="4B1E387E">
              <w:rPr>
                <w:rFonts w:cs="Open Sans Light"/>
              </w:rPr>
              <w:lastRenderedPageBreak/>
              <w:t>cognitive planning and working memory.</w:t>
            </w:r>
          </w:p>
        </w:tc>
      </w:tr>
      <w:tr w:rsidR="00D34530" w:rsidRPr="002E7925" w14:paraId="6494D602" w14:textId="77777777" w:rsidTr="00D34530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1" w:type="dxa"/>
            <w:gridSpan w:val="4"/>
            <w:tcBorders>
              <w:right w:val="none" w:sz="0" w:space="0" w:color="auto"/>
            </w:tcBorders>
            <w:shd w:val="clear" w:color="auto" w:fill="D3EBDA"/>
          </w:tcPr>
          <w:p w14:paraId="5EC271CE" w14:textId="77777777" w:rsidR="00D34530" w:rsidRPr="00182795" w:rsidRDefault="00D34530" w:rsidP="00E60C1D">
            <w:pPr>
              <w:spacing w:before="60" w:after="60"/>
              <w:rPr>
                <w:rFonts w:cs="Open Sans Light"/>
              </w:rPr>
            </w:pPr>
            <w:r w:rsidRPr="00182795">
              <w:rPr>
                <w:rFonts w:cs="Open Sans Light"/>
              </w:rPr>
              <w:lastRenderedPageBreak/>
              <w:t>Learning</w:t>
            </w:r>
          </w:p>
        </w:tc>
      </w:tr>
      <w:tr w:rsidR="00D34530" w:rsidRPr="002E7925" w14:paraId="699DA6DE" w14:textId="77777777" w:rsidTr="00D3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1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3EBDA"/>
          </w:tcPr>
          <w:p w14:paraId="3CE2F354" w14:textId="77777777" w:rsidR="00D34530" w:rsidRPr="00DE2E4A" w:rsidRDefault="00D34530" w:rsidP="00E60C1D">
            <w:pPr>
              <w:spacing w:before="60" w:after="60"/>
              <w:rPr>
                <w:rFonts w:cs="Open Sans Light"/>
                <w:b w:val="0"/>
                <w:bCs w:val="0"/>
                <w:i/>
                <w:iCs/>
              </w:rPr>
            </w:pPr>
            <w:r w:rsidRPr="00DE2E4A">
              <w:rPr>
                <w:rFonts w:cs="Open Sans Light"/>
                <w:b w:val="0"/>
                <w:bCs w:val="0"/>
                <w:i/>
                <w:iCs/>
              </w:rPr>
              <w:t xml:space="preserve">Comments: </w:t>
            </w:r>
          </w:p>
        </w:tc>
      </w:tr>
      <w:tr w:rsidR="00D34530" w:rsidRPr="002E7925" w14:paraId="70E89F16" w14:textId="77777777" w:rsidTr="00D34530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right w:val="none" w:sz="0" w:space="0" w:color="auto"/>
            </w:tcBorders>
          </w:tcPr>
          <w:p w14:paraId="60178C2E" w14:textId="77777777" w:rsidR="00D34530" w:rsidRPr="00762141" w:rsidRDefault="00D34530" w:rsidP="00E60C1D">
            <w:pPr>
              <w:spacing w:before="60" w:after="60"/>
              <w:rPr>
                <w:rFonts w:cs="Open Sans Light"/>
                <w:b w:val="0"/>
                <w:bCs w:val="0"/>
              </w:rPr>
            </w:pPr>
            <w:r w:rsidRPr="4B1E387E">
              <w:rPr>
                <w:rFonts w:cs="Open Sans Light"/>
                <w:b w:val="0"/>
                <w:bCs w:val="0"/>
              </w:rPr>
              <w:t>Learning RI Core Standards as part of the general education curriculum with minimal to no support provided.</w:t>
            </w:r>
          </w:p>
        </w:tc>
        <w:tc>
          <w:tcPr>
            <w:tcW w:w="2606" w:type="dxa"/>
          </w:tcPr>
          <w:p w14:paraId="0269B262" w14:textId="77777777" w:rsidR="00D34530" w:rsidRPr="00182795" w:rsidRDefault="00D34530" w:rsidP="00E60C1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 Light"/>
              </w:rPr>
            </w:pPr>
            <w:r w:rsidRPr="4B1E387E">
              <w:rPr>
                <w:rFonts w:cs="Open Sans Light"/>
              </w:rPr>
              <w:t>Learning RI Core Standards as part of the general education curriculum with maximum support provided and making progress.</w:t>
            </w:r>
          </w:p>
        </w:tc>
        <w:tc>
          <w:tcPr>
            <w:tcW w:w="2610" w:type="dxa"/>
          </w:tcPr>
          <w:p w14:paraId="2BECFBC5" w14:textId="77777777" w:rsidR="00D34530" w:rsidRPr="00C64D89" w:rsidRDefault="00D34530" w:rsidP="00E60C1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 Light"/>
              </w:rPr>
            </w:pPr>
            <w:r w:rsidRPr="00C64D89">
              <w:rPr>
                <w:rFonts w:cs="Open Sans Light"/>
              </w:rPr>
              <w:t>Learning RI Core Standards as part of the general education curriculum with maximum levels of support and no progress.</w:t>
            </w:r>
          </w:p>
          <w:p w14:paraId="3D8387D1" w14:textId="77777777" w:rsidR="00D34530" w:rsidRPr="00C64D89" w:rsidRDefault="00D34530" w:rsidP="00E60C1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 Light"/>
              </w:rPr>
            </w:pPr>
            <w:r w:rsidRPr="00C64D89">
              <w:rPr>
                <w:rFonts w:cs="Open Sans Light"/>
              </w:rPr>
              <w:t>OR</w:t>
            </w:r>
          </w:p>
          <w:p w14:paraId="79FE1FD5" w14:textId="77777777" w:rsidR="00D34530" w:rsidRPr="00C64D89" w:rsidRDefault="00D34530" w:rsidP="00E60C1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 Light"/>
              </w:rPr>
            </w:pPr>
            <w:r w:rsidRPr="00C64D89">
              <w:rPr>
                <w:rFonts w:cs="Open Sans Light"/>
              </w:rPr>
              <w:t>Learning Essential Elements and mastering the Target linkage level with moderate to maximum levels of support.</w:t>
            </w:r>
          </w:p>
        </w:tc>
        <w:tc>
          <w:tcPr>
            <w:tcW w:w="2790" w:type="dxa"/>
          </w:tcPr>
          <w:p w14:paraId="25183673" w14:textId="77777777" w:rsidR="00D34530" w:rsidRPr="00C64D89" w:rsidRDefault="00D34530" w:rsidP="00E60C1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 Light"/>
              </w:rPr>
            </w:pPr>
            <w:r w:rsidRPr="00C64D89">
              <w:rPr>
                <w:rFonts w:cs="Open Sans Light"/>
              </w:rPr>
              <w:t xml:space="preserve">Learning Essential Elements and making progress through linkage levels with maximum levels of support. </w:t>
            </w:r>
          </w:p>
          <w:p w14:paraId="35418F62" w14:textId="77777777" w:rsidR="00D34530" w:rsidRPr="00C64D89" w:rsidRDefault="00D34530" w:rsidP="00E60C1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 Light"/>
              </w:rPr>
            </w:pPr>
            <w:r w:rsidRPr="00C64D89">
              <w:rPr>
                <w:rFonts w:cs="Open Sans Light"/>
              </w:rPr>
              <w:t>OR</w:t>
            </w:r>
          </w:p>
          <w:p w14:paraId="2F2671CD" w14:textId="77777777" w:rsidR="00D34530" w:rsidRPr="00C64D89" w:rsidRDefault="00D34530" w:rsidP="00E60C1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 Light"/>
              </w:rPr>
            </w:pPr>
            <w:r w:rsidRPr="00C64D89">
              <w:rPr>
                <w:rFonts w:cs="Open Sans Light"/>
              </w:rPr>
              <w:t xml:space="preserve">Learning Essential Elements and not making progress through linkage levels even with maximum levels of support. </w:t>
            </w:r>
          </w:p>
        </w:tc>
      </w:tr>
    </w:tbl>
    <w:p w14:paraId="016E862E" w14:textId="77777777" w:rsidR="00D34530" w:rsidRDefault="00D34530"/>
    <w:sectPr w:rsidR="00D34530" w:rsidSect="00D345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530"/>
    <w:rsid w:val="00D3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E9130"/>
  <w15:chartTrackingRefBased/>
  <w15:docId w15:val="{3AB2E40A-964E-4D1D-A931-48D25FAD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530"/>
    <w:pPr>
      <w:spacing w:before="120" w:after="120" w:line="240" w:lineRule="auto"/>
    </w:pPr>
    <w:rPr>
      <w:rFonts w:ascii="Calibri" w:eastAsiaTheme="minorEastAsia" w:hAnsi="Calibri"/>
      <w:kern w:val="0"/>
      <w:szCs w:val="20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34530"/>
    <w:pPr>
      <w:pBdr>
        <w:top w:val="single" w:sz="6" w:space="2" w:color="4472C4" w:themeColor="accent1"/>
      </w:pBdr>
      <w:spacing w:before="300" w:after="0"/>
      <w:ind w:right="-90"/>
      <w:outlineLvl w:val="2"/>
    </w:pPr>
    <w:rPr>
      <w:b/>
      <w:caps/>
      <w:color w:val="1F3763" w:themeColor="accent1" w:themeShade="7F"/>
      <w:spacing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34530"/>
    <w:rPr>
      <w:rFonts w:ascii="Calibri" w:eastAsiaTheme="minorEastAsia" w:hAnsi="Calibri"/>
      <w:b/>
      <w:caps/>
      <w:color w:val="1F3763" w:themeColor="accent1" w:themeShade="7F"/>
      <w:spacing w:val="15"/>
      <w:kern w:val="0"/>
      <w:szCs w:val="20"/>
      <w14:ligatures w14:val="none"/>
    </w:rPr>
  </w:style>
  <w:style w:type="table" w:styleId="ListTable3-Accent5">
    <w:name w:val="List Table 3 Accent 5"/>
    <w:basedOn w:val="TableNormal"/>
    <w:uiPriority w:val="48"/>
    <w:rsid w:val="00D34530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485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Heineke, Heather</dc:creator>
  <cp:keywords/>
  <dc:description/>
  <cp:lastModifiedBy>Heineke, Heather</cp:lastModifiedBy>
  <cp:revision>1</cp:revision>
  <dcterms:created xsi:type="dcterms:W3CDTF">2023-10-13T13:02:00Z</dcterms:created>
  <dcterms:modified xsi:type="dcterms:W3CDTF">2023-10-13T13:13:00Z</dcterms:modified>
</cp:coreProperties>
</file>