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CDA3" w14:textId="39E14845" w:rsidR="00183870" w:rsidRDefault="00CE6E98" w:rsidP="00183870">
      <w:pPr>
        <w:jc w:val="center"/>
        <w:rPr>
          <w:color w:val="0070C0"/>
          <w:sz w:val="32"/>
          <w:szCs w:val="32"/>
        </w:rPr>
      </w:pPr>
      <w:r>
        <w:rPr>
          <w:color w:val="0070C0"/>
          <w:sz w:val="32"/>
          <w:szCs w:val="32"/>
        </w:rPr>
        <w:t xml:space="preserve">High Quality </w:t>
      </w:r>
      <w:r w:rsidR="00A85318">
        <w:rPr>
          <w:color w:val="0070C0"/>
          <w:sz w:val="32"/>
          <w:szCs w:val="32"/>
        </w:rPr>
        <w:t>Curriculum &amp; Implementation:</w:t>
      </w:r>
    </w:p>
    <w:p w14:paraId="68A8C1EB" w14:textId="627E50BE" w:rsidR="005E314F" w:rsidRDefault="00183870" w:rsidP="00183870">
      <w:pPr>
        <w:jc w:val="center"/>
        <w:rPr>
          <w:color w:val="0070C0"/>
          <w:sz w:val="32"/>
          <w:szCs w:val="32"/>
        </w:rPr>
      </w:pPr>
      <w:r>
        <w:rPr>
          <w:color w:val="0070C0"/>
          <w:sz w:val="32"/>
          <w:szCs w:val="32"/>
        </w:rPr>
        <w:t xml:space="preserve">Understanding </w:t>
      </w:r>
      <w:r w:rsidR="00E27AE7">
        <w:rPr>
          <w:color w:val="0070C0"/>
          <w:sz w:val="32"/>
          <w:szCs w:val="32"/>
        </w:rPr>
        <w:t>Culturally Responsive</w:t>
      </w:r>
      <w:r>
        <w:rPr>
          <w:color w:val="0070C0"/>
          <w:sz w:val="32"/>
          <w:szCs w:val="32"/>
        </w:rPr>
        <w:t xml:space="preserve"> and</w:t>
      </w:r>
      <w:r w:rsidR="00372DBB">
        <w:rPr>
          <w:color w:val="0070C0"/>
          <w:sz w:val="32"/>
          <w:szCs w:val="32"/>
        </w:rPr>
        <w:t xml:space="preserve"> Sustaining Education</w:t>
      </w:r>
      <w:r w:rsidR="005E314F">
        <w:rPr>
          <w:color w:val="0070C0"/>
          <w:sz w:val="32"/>
          <w:szCs w:val="32"/>
        </w:rPr>
        <w:t xml:space="preserve"> (CRSE)</w:t>
      </w:r>
      <w:r w:rsidR="00E27AE7">
        <w:rPr>
          <w:color w:val="0070C0"/>
          <w:sz w:val="32"/>
          <w:szCs w:val="32"/>
        </w:rPr>
        <w:t xml:space="preserve"> </w:t>
      </w:r>
    </w:p>
    <w:p w14:paraId="2C078E63" w14:textId="7DE61CD7" w:rsidR="00981D22" w:rsidRDefault="005E314F" w:rsidP="00183870">
      <w:pPr>
        <w:jc w:val="center"/>
        <w:rPr>
          <w:color w:val="0070C0"/>
          <w:sz w:val="32"/>
          <w:szCs w:val="32"/>
        </w:rPr>
      </w:pPr>
      <w:r>
        <w:rPr>
          <w:color w:val="0070C0"/>
          <w:sz w:val="32"/>
          <w:szCs w:val="32"/>
        </w:rPr>
        <w:t xml:space="preserve">Mathematics </w:t>
      </w:r>
      <w:r w:rsidR="00372DBB">
        <w:rPr>
          <w:color w:val="0070C0"/>
          <w:sz w:val="32"/>
          <w:szCs w:val="32"/>
        </w:rPr>
        <w:t>Curriculum Review Tool</w:t>
      </w:r>
    </w:p>
    <w:p w14:paraId="7FED7071" w14:textId="3D28A7A5" w:rsidR="005E314F" w:rsidRDefault="00DE5139" w:rsidP="00DE5139">
      <w:pPr>
        <w:jc w:val="center"/>
        <w:rPr>
          <w:rFonts w:eastAsia="Calibri" w:cstheme="minorHAnsi"/>
          <w:b/>
          <w:color w:val="000000"/>
        </w:rPr>
      </w:pPr>
      <w:r w:rsidRPr="00D760CE">
        <w:rPr>
          <w:rFonts w:eastAsia="Calibri" w:cstheme="minorHAnsi"/>
          <w:b/>
          <w:color w:val="000000"/>
        </w:rPr>
        <w:t>Adopting a High-Quality Curriculum is an overall strategy for having high expectations f</w:t>
      </w:r>
      <w:r w:rsidR="00CE6E98">
        <w:rPr>
          <w:rFonts w:eastAsia="Calibri" w:cstheme="minorHAnsi"/>
          <w:b/>
          <w:color w:val="000000"/>
        </w:rPr>
        <w:t xml:space="preserve">or all students. </w:t>
      </w:r>
    </w:p>
    <w:p w14:paraId="3D1D986A" w14:textId="77777777" w:rsidR="00CF269F" w:rsidRPr="00DE5139" w:rsidRDefault="00CF269F" w:rsidP="00DE5139">
      <w:pPr>
        <w:jc w:val="center"/>
        <w:rPr>
          <w:rFonts w:eastAsia="Calibri" w:cstheme="minorHAnsi"/>
          <w:b/>
          <w:color w:val="000000"/>
        </w:rPr>
      </w:pPr>
    </w:p>
    <w:tbl>
      <w:tblPr>
        <w:tblStyle w:val="TableGrid"/>
        <w:tblW w:w="0" w:type="auto"/>
        <w:tblLook w:val="04A0" w:firstRow="1" w:lastRow="0" w:firstColumn="1" w:lastColumn="0" w:noHBand="0" w:noVBand="1"/>
      </w:tblPr>
      <w:tblGrid>
        <w:gridCol w:w="1696"/>
        <w:gridCol w:w="6265"/>
        <w:gridCol w:w="6429"/>
      </w:tblGrid>
      <w:tr w:rsidR="004D0E0A" w14:paraId="537F3689" w14:textId="77777777" w:rsidTr="615DC371">
        <w:tc>
          <w:tcPr>
            <w:tcW w:w="14390" w:type="dxa"/>
            <w:gridSpan w:val="3"/>
            <w:shd w:val="clear" w:color="auto" w:fill="auto"/>
          </w:tcPr>
          <w:p w14:paraId="2E74D795" w14:textId="0FBFE0AC" w:rsidR="004D0E0A" w:rsidRPr="000633E0" w:rsidRDefault="00181C47" w:rsidP="000E6970">
            <w:pPr>
              <w:jc w:val="both"/>
            </w:pPr>
            <w:r w:rsidRPr="000633E0">
              <w:rPr>
                <w:b/>
                <w:bCs/>
              </w:rPr>
              <w:t>I</w:t>
            </w:r>
            <w:r w:rsidR="00746584" w:rsidRPr="000633E0">
              <w:rPr>
                <w:b/>
                <w:bCs/>
              </w:rPr>
              <w:t>ntroduction:</w:t>
            </w:r>
            <w:r w:rsidR="00746584" w:rsidRPr="000633E0">
              <w:t xml:space="preserve"> Mathematics curriculum materials are replete with language, mathematical symbols, and visual images (e.g</w:t>
            </w:r>
            <w:r w:rsidRPr="000633E0">
              <w:t xml:space="preserve">., </w:t>
            </w:r>
            <w:r w:rsidR="00746584" w:rsidRPr="000633E0">
              <w:t>pictures, graphs, tables). The mathematical symbols in and of themselves are neutral. It is the language and visual images</w:t>
            </w:r>
            <w:r w:rsidR="001938C2">
              <w:t xml:space="preserve"> used in a curriculum</w:t>
            </w:r>
            <w:r w:rsidR="00746584" w:rsidRPr="000633E0">
              <w:t xml:space="preserve"> that have the potent</w:t>
            </w:r>
            <w:r w:rsidR="005E7105" w:rsidRPr="000633E0">
              <w:t>i</w:t>
            </w:r>
            <w:r w:rsidR="00746584" w:rsidRPr="000633E0">
              <w:t>al for bias. When using this tool, we will use the term "text" to represent language. For pictures, graphs, tables, etc.</w:t>
            </w:r>
            <w:r w:rsidR="007D6C0B" w:rsidRPr="000633E0">
              <w:t xml:space="preserve">, </w:t>
            </w:r>
            <w:r w:rsidR="00746584" w:rsidRPr="000633E0">
              <w:t>we will use the term "images</w:t>
            </w:r>
            <w:r w:rsidRPr="000633E0">
              <w:t>”.</w:t>
            </w:r>
            <w:r w:rsidR="00746584" w:rsidRPr="000633E0">
              <w:tab/>
            </w:r>
            <w:r w:rsidR="00746584" w:rsidRPr="000633E0">
              <w:tab/>
            </w:r>
          </w:p>
        </w:tc>
      </w:tr>
      <w:tr w:rsidR="00764890" w14:paraId="2DB136BC" w14:textId="77777777" w:rsidTr="615DC371">
        <w:tc>
          <w:tcPr>
            <w:tcW w:w="1696" w:type="dxa"/>
            <w:shd w:val="clear" w:color="auto" w:fill="A6A6A6" w:themeFill="background1" w:themeFillShade="A6"/>
          </w:tcPr>
          <w:p w14:paraId="7D91EF85" w14:textId="6E6B2340" w:rsidR="00764890" w:rsidRPr="00A63513" w:rsidRDefault="00A63513" w:rsidP="00A63513">
            <w:pPr>
              <w:jc w:val="center"/>
            </w:pPr>
            <w:r>
              <w:t>Category</w:t>
            </w:r>
          </w:p>
        </w:tc>
        <w:tc>
          <w:tcPr>
            <w:tcW w:w="6265" w:type="dxa"/>
            <w:shd w:val="clear" w:color="auto" w:fill="A6A6A6" w:themeFill="background1" w:themeFillShade="A6"/>
          </w:tcPr>
          <w:p w14:paraId="629EC1D1" w14:textId="3368C22C" w:rsidR="00764890" w:rsidRPr="00733966" w:rsidRDefault="00733966" w:rsidP="00A63513">
            <w:pPr>
              <w:jc w:val="center"/>
              <w:rPr>
                <w:b/>
                <w:bCs/>
              </w:rPr>
            </w:pPr>
            <w:r>
              <w:rPr>
                <w:b/>
                <w:bCs/>
              </w:rPr>
              <w:t>Guiding Questions</w:t>
            </w:r>
          </w:p>
        </w:tc>
        <w:tc>
          <w:tcPr>
            <w:tcW w:w="6429" w:type="dxa"/>
            <w:shd w:val="clear" w:color="auto" w:fill="A6A6A6" w:themeFill="background1" w:themeFillShade="A6"/>
          </w:tcPr>
          <w:p w14:paraId="7F7E5C8B" w14:textId="7E0B4089" w:rsidR="00764890" w:rsidRPr="00733966" w:rsidRDefault="00733966" w:rsidP="00733966">
            <w:pPr>
              <w:jc w:val="center"/>
              <w:rPr>
                <w:b/>
                <w:bCs/>
              </w:rPr>
            </w:pPr>
            <w:r w:rsidRPr="00733966">
              <w:rPr>
                <w:b/>
                <w:bCs/>
              </w:rPr>
              <w:t>Evidence Collected from Curriculum</w:t>
            </w:r>
          </w:p>
        </w:tc>
      </w:tr>
      <w:tr w:rsidR="00B22FDE" w14:paraId="0BFAF929" w14:textId="77777777" w:rsidTr="615DC371">
        <w:tc>
          <w:tcPr>
            <w:tcW w:w="1696" w:type="dxa"/>
            <w:vMerge w:val="restart"/>
            <w:shd w:val="clear" w:color="auto" w:fill="F4B083" w:themeFill="accent2" w:themeFillTint="99"/>
          </w:tcPr>
          <w:p w14:paraId="6F5757D6" w14:textId="77777777" w:rsidR="00B22FDE" w:rsidRDefault="00B22FDE" w:rsidP="00277D93">
            <w:pPr>
              <w:jc w:val="center"/>
              <w:rPr>
                <w:color w:val="0070C0"/>
              </w:rPr>
            </w:pPr>
          </w:p>
          <w:p w14:paraId="7607E9BB" w14:textId="77777777" w:rsidR="00277D93" w:rsidRDefault="00277D93" w:rsidP="00277D93">
            <w:pPr>
              <w:jc w:val="center"/>
              <w:rPr>
                <w:color w:val="0070C0"/>
              </w:rPr>
            </w:pPr>
          </w:p>
          <w:p w14:paraId="145575DF" w14:textId="77777777" w:rsidR="00A00CCA" w:rsidRDefault="00A00CCA" w:rsidP="00190103">
            <w:pPr>
              <w:jc w:val="center"/>
              <w:rPr>
                <w:b/>
                <w:bCs/>
              </w:rPr>
            </w:pPr>
          </w:p>
          <w:p w14:paraId="2F6EF1D2" w14:textId="77777777" w:rsidR="00A00CCA" w:rsidRDefault="00A00CCA" w:rsidP="00190103">
            <w:pPr>
              <w:jc w:val="center"/>
              <w:rPr>
                <w:b/>
                <w:bCs/>
              </w:rPr>
            </w:pPr>
          </w:p>
          <w:p w14:paraId="0285507E" w14:textId="77777777" w:rsidR="00A00CCA" w:rsidRDefault="00A00CCA" w:rsidP="00190103">
            <w:pPr>
              <w:jc w:val="center"/>
              <w:rPr>
                <w:b/>
                <w:bCs/>
              </w:rPr>
            </w:pPr>
          </w:p>
          <w:p w14:paraId="3D498FD6" w14:textId="77777777" w:rsidR="00A00CCA" w:rsidRDefault="00A00CCA" w:rsidP="00190103">
            <w:pPr>
              <w:jc w:val="center"/>
              <w:rPr>
                <w:b/>
                <w:bCs/>
              </w:rPr>
            </w:pPr>
          </w:p>
          <w:p w14:paraId="44DE5DF7" w14:textId="77777777" w:rsidR="00A00CCA" w:rsidRDefault="00A00CCA" w:rsidP="00190103">
            <w:pPr>
              <w:jc w:val="center"/>
              <w:rPr>
                <w:b/>
                <w:bCs/>
              </w:rPr>
            </w:pPr>
          </w:p>
          <w:p w14:paraId="028D960E" w14:textId="4A1FE699" w:rsidR="00190103" w:rsidRPr="00277D93" w:rsidRDefault="00277D93" w:rsidP="00190103">
            <w:pPr>
              <w:jc w:val="center"/>
              <w:rPr>
                <w:b/>
                <w:bCs/>
              </w:rPr>
            </w:pPr>
            <w:r>
              <w:rPr>
                <w:b/>
                <w:bCs/>
              </w:rPr>
              <w:t>Diverse Identities</w:t>
            </w:r>
          </w:p>
        </w:tc>
        <w:tc>
          <w:tcPr>
            <w:tcW w:w="6265" w:type="dxa"/>
          </w:tcPr>
          <w:p w14:paraId="0CC23CB4" w14:textId="01FB7999" w:rsidR="00454535" w:rsidRPr="008E47CF" w:rsidRDefault="001347F3" w:rsidP="00764890">
            <w:pPr>
              <w:rPr>
                <w:rFonts w:eastAsia="Calibri" w:cstheme="minorHAnsi"/>
                <w:color w:val="000000"/>
                <w:spacing w:val="-1"/>
                <w:sz w:val="21"/>
                <w:szCs w:val="21"/>
              </w:rPr>
            </w:pPr>
            <w:r w:rsidRPr="00D760CE">
              <w:rPr>
                <w:rFonts w:eastAsia="Calibri" w:cstheme="minorHAnsi"/>
                <w:color w:val="000000"/>
                <w:spacing w:val="-1"/>
                <w:sz w:val="21"/>
                <w:szCs w:val="21"/>
              </w:rPr>
              <w:t>How do the teacher's materials provide guidance on opportunities to engage student and families’ funds of knowledge to enhance lessons? Does the curriculum suggest activities to engage families to share topics of expertise?</w:t>
            </w:r>
          </w:p>
        </w:tc>
        <w:tc>
          <w:tcPr>
            <w:tcW w:w="6429" w:type="dxa"/>
          </w:tcPr>
          <w:p w14:paraId="129F7FEA" w14:textId="77777777" w:rsidR="00B22FDE" w:rsidRPr="00B318FC" w:rsidRDefault="00B22FDE" w:rsidP="00764890">
            <w:pPr>
              <w:rPr>
                <w:color w:val="0070C0"/>
              </w:rPr>
            </w:pPr>
          </w:p>
        </w:tc>
      </w:tr>
      <w:tr w:rsidR="00B22FDE" w14:paraId="4628E3CB" w14:textId="77777777" w:rsidTr="615DC371">
        <w:tc>
          <w:tcPr>
            <w:tcW w:w="1696" w:type="dxa"/>
            <w:vMerge/>
          </w:tcPr>
          <w:p w14:paraId="6A591FBF" w14:textId="77777777" w:rsidR="00B22FDE" w:rsidRPr="00B318FC" w:rsidRDefault="00B22FDE" w:rsidP="00764890">
            <w:pPr>
              <w:rPr>
                <w:color w:val="0070C0"/>
              </w:rPr>
            </w:pPr>
          </w:p>
        </w:tc>
        <w:tc>
          <w:tcPr>
            <w:tcW w:w="6265" w:type="dxa"/>
            <w:shd w:val="clear" w:color="auto" w:fill="D9D9D9" w:themeFill="background1" w:themeFillShade="D9"/>
          </w:tcPr>
          <w:p w14:paraId="7823C909" w14:textId="4D3B0FB5" w:rsidR="00CF269F" w:rsidRPr="008E47CF" w:rsidRDefault="00CA476F" w:rsidP="00764890">
            <w:pPr>
              <w:rPr>
                <w:rFonts w:eastAsia="Calibri" w:cstheme="minorHAnsi"/>
                <w:color w:val="000000"/>
                <w:sz w:val="21"/>
                <w:szCs w:val="21"/>
              </w:rPr>
            </w:pPr>
            <w:r>
              <w:rPr>
                <w:rFonts w:eastAsia="Calibri" w:cstheme="minorHAnsi"/>
                <w:color w:val="000000"/>
                <w:sz w:val="21"/>
                <w:szCs w:val="21"/>
              </w:rPr>
              <w:t xml:space="preserve">Do the </w:t>
            </w:r>
            <w:r w:rsidR="0095574A" w:rsidRPr="00D760CE">
              <w:rPr>
                <w:rFonts w:eastAsia="Calibri" w:cstheme="minorHAnsi"/>
                <w:color w:val="000000"/>
                <w:sz w:val="21"/>
                <w:szCs w:val="21"/>
              </w:rPr>
              <w:t xml:space="preserve">authors </w:t>
            </w:r>
            <w:r w:rsidR="00000861">
              <w:rPr>
                <w:rFonts w:eastAsia="Calibri" w:cstheme="minorHAnsi"/>
                <w:color w:val="000000"/>
                <w:sz w:val="21"/>
                <w:szCs w:val="21"/>
              </w:rPr>
              <w:t>of the curriculum have</w:t>
            </w:r>
            <w:r w:rsidR="0095574A" w:rsidRPr="00D760CE">
              <w:rPr>
                <w:rFonts w:eastAsia="Calibri" w:cstheme="minorHAnsi"/>
                <w:color w:val="000000"/>
                <w:sz w:val="21"/>
                <w:szCs w:val="21"/>
              </w:rPr>
              <w:t xml:space="preserve"> diverse identities?</w:t>
            </w:r>
          </w:p>
        </w:tc>
        <w:tc>
          <w:tcPr>
            <w:tcW w:w="6429" w:type="dxa"/>
            <w:shd w:val="clear" w:color="auto" w:fill="D9D9D9" w:themeFill="background1" w:themeFillShade="D9"/>
          </w:tcPr>
          <w:p w14:paraId="0FE458A1" w14:textId="77777777" w:rsidR="00B22FDE" w:rsidRPr="00740EF9" w:rsidRDefault="00B22FDE" w:rsidP="00764890"/>
        </w:tc>
      </w:tr>
      <w:tr w:rsidR="00B22FDE" w14:paraId="23031FD6" w14:textId="77777777" w:rsidTr="615DC371">
        <w:tc>
          <w:tcPr>
            <w:tcW w:w="1696" w:type="dxa"/>
            <w:vMerge/>
          </w:tcPr>
          <w:p w14:paraId="0F0FE67A" w14:textId="77777777" w:rsidR="00B22FDE" w:rsidRPr="00B318FC" w:rsidRDefault="00B22FDE" w:rsidP="00764890">
            <w:pPr>
              <w:rPr>
                <w:color w:val="0070C0"/>
              </w:rPr>
            </w:pPr>
          </w:p>
        </w:tc>
        <w:tc>
          <w:tcPr>
            <w:tcW w:w="6265" w:type="dxa"/>
          </w:tcPr>
          <w:p w14:paraId="38CF931D" w14:textId="77777777" w:rsidR="000336DA" w:rsidRPr="00D760CE" w:rsidRDefault="000336DA" w:rsidP="00894D4D">
            <w:pPr>
              <w:spacing w:line="271" w:lineRule="exact"/>
              <w:ind w:right="612"/>
              <w:jc w:val="both"/>
              <w:textAlignment w:val="baseline"/>
              <w:rPr>
                <w:rFonts w:eastAsia="Calibri" w:cstheme="minorHAnsi"/>
                <w:color w:val="000000"/>
                <w:spacing w:val="-2"/>
                <w:sz w:val="21"/>
                <w:szCs w:val="21"/>
              </w:rPr>
            </w:pPr>
            <w:r w:rsidRPr="00D760CE">
              <w:rPr>
                <w:rFonts w:eastAsia="Calibri" w:cstheme="minorHAnsi"/>
                <w:color w:val="000000"/>
                <w:spacing w:val="-2"/>
                <w:sz w:val="21"/>
                <w:szCs w:val="21"/>
              </w:rPr>
              <w:t xml:space="preserve">How does the curriculum portray diverse ethnicities and nationalities, family structures (e.g. single parents, adopted or foster children, same-sex parents, other relatives living with the family), and </w:t>
            </w:r>
            <w:proofErr w:type="gramStart"/>
            <w:r w:rsidRPr="00D760CE">
              <w:rPr>
                <w:rFonts w:eastAsia="Calibri" w:cstheme="minorHAnsi"/>
                <w:color w:val="000000"/>
                <w:spacing w:val="-2"/>
                <w:sz w:val="21"/>
                <w:szCs w:val="21"/>
              </w:rPr>
              <w:t>differently-abled</w:t>
            </w:r>
            <w:proofErr w:type="gramEnd"/>
            <w:r w:rsidRPr="00D760CE">
              <w:rPr>
                <w:rFonts w:eastAsia="Calibri" w:cstheme="minorHAnsi"/>
                <w:color w:val="000000"/>
                <w:spacing w:val="-2"/>
                <w:sz w:val="21"/>
                <w:szCs w:val="21"/>
              </w:rPr>
              <w:t xml:space="preserve"> characters?</w:t>
            </w:r>
          </w:p>
          <w:p w14:paraId="0E4BA0A5" w14:textId="4FB08627" w:rsidR="000336DA" w:rsidRDefault="002B6D12" w:rsidP="000336DA">
            <w:pPr>
              <w:numPr>
                <w:ilvl w:val="0"/>
                <w:numId w:val="2"/>
              </w:numPr>
              <w:tabs>
                <w:tab w:val="clear" w:pos="360"/>
                <w:tab w:val="left" w:pos="864"/>
              </w:tabs>
              <w:spacing w:line="239" w:lineRule="exact"/>
              <w:ind w:left="864" w:hanging="360"/>
              <w:jc w:val="both"/>
              <w:textAlignment w:val="baseline"/>
              <w:rPr>
                <w:rFonts w:eastAsia="Calibri" w:cstheme="minorHAnsi"/>
                <w:color w:val="000000"/>
                <w:sz w:val="21"/>
                <w:szCs w:val="21"/>
              </w:rPr>
            </w:pPr>
            <w:r w:rsidRPr="00725490">
              <w:rPr>
                <w:rFonts w:eastAsia="Calibri" w:cstheme="minorHAnsi"/>
                <w:color w:val="000000"/>
                <w:sz w:val="21"/>
                <w:szCs w:val="21"/>
              </w:rPr>
              <w:t>Do text and images in the curriculum</w:t>
            </w:r>
            <w:r w:rsidR="00663D23" w:rsidRPr="00725490">
              <w:rPr>
                <w:rFonts w:eastAsia="Calibri" w:cstheme="minorHAnsi"/>
                <w:color w:val="000000"/>
                <w:sz w:val="21"/>
                <w:szCs w:val="21"/>
              </w:rPr>
              <w:t xml:space="preserve"> </w:t>
            </w:r>
            <w:r w:rsidR="00725490" w:rsidRPr="00725490">
              <w:rPr>
                <w:rFonts w:eastAsia="Calibri" w:cstheme="minorHAnsi"/>
                <w:color w:val="000000"/>
                <w:sz w:val="21"/>
                <w:szCs w:val="21"/>
              </w:rPr>
              <w:t xml:space="preserve">positively </w:t>
            </w:r>
            <w:r w:rsidR="00663D23" w:rsidRPr="00725490">
              <w:rPr>
                <w:rFonts w:eastAsia="Calibri" w:cstheme="minorHAnsi"/>
                <w:color w:val="000000"/>
                <w:sz w:val="21"/>
                <w:szCs w:val="21"/>
              </w:rPr>
              <w:t>portray people from diverse groups</w:t>
            </w:r>
            <w:r w:rsidR="000336DA" w:rsidRPr="00725490">
              <w:rPr>
                <w:rFonts w:eastAsia="Calibri" w:cstheme="minorHAnsi"/>
                <w:color w:val="000000"/>
                <w:sz w:val="21"/>
                <w:szCs w:val="21"/>
              </w:rPr>
              <w:t>?</w:t>
            </w:r>
          </w:p>
          <w:p w14:paraId="70099389" w14:textId="59A31065" w:rsidR="00454535" w:rsidRPr="008E47CF" w:rsidRDefault="00CE3E57" w:rsidP="008E47CF">
            <w:pPr>
              <w:numPr>
                <w:ilvl w:val="0"/>
                <w:numId w:val="2"/>
              </w:numPr>
              <w:tabs>
                <w:tab w:val="clear" w:pos="360"/>
                <w:tab w:val="left" w:pos="864"/>
              </w:tabs>
              <w:spacing w:line="239" w:lineRule="exact"/>
              <w:ind w:left="864" w:hanging="360"/>
              <w:jc w:val="both"/>
              <w:textAlignment w:val="baseline"/>
              <w:rPr>
                <w:rFonts w:eastAsia="Calibri" w:cstheme="minorHAnsi"/>
                <w:color w:val="000000"/>
                <w:sz w:val="21"/>
                <w:szCs w:val="21"/>
              </w:rPr>
            </w:pPr>
            <w:r>
              <w:rPr>
                <w:rFonts w:eastAsia="Calibri" w:cstheme="minorHAnsi"/>
                <w:color w:val="000000"/>
                <w:sz w:val="21"/>
                <w:szCs w:val="21"/>
              </w:rPr>
              <w:t>Do the text and images</w:t>
            </w:r>
            <w:r w:rsidR="0034097E">
              <w:rPr>
                <w:rFonts w:eastAsia="Calibri" w:cstheme="minorHAnsi"/>
                <w:color w:val="000000"/>
                <w:sz w:val="21"/>
                <w:szCs w:val="21"/>
              </w:rPr>
              <w:t xml:space="preserve"> in the curriculum avoid</w:t>
            </w:r>
            <w:r w:rsidR="00BB4EB0">
              <w:rPr>
                <w:rFonts w:eastAsia="Calibri" w:cstheme="minorHAnsi"/>
                <w:color w:val="000000"/>
                <w:sz w:val="21"/>
                <w:szCs w:val="21"/>
              </w:rPr>
              <w:t xml:space="preserve"> representing</w:t>
            </w:r>
            <w:r>
              <w:rPr>
                <w:rFonts w:eastAsia="Calibri" w:cstheme="minorHAnsi"/>
                <w:color w:val="000000"/>
                <w:sz w:val="21"/>
                <w:szCs w:val="21"/>
              </w:rPr>
              <w:t xml:space="preserve"> people</w:t>
            </w:r>
            <w:r w:rsidR="0034097E">
              <w:rPr>
                <w:rFonts w:eastAsia="Calibri" w:cstheme="minorHAnsi"/>
                <w:color w:val="000000"/>
                <w:sz w:val="21"/>
                <w:szCs w:val="21"/>
              </w:rPr>
              <w:t xml:space="preserve"> from diverse groups in</w:t>
            </w:r>
            <w:r w:rsidR="00A87502">
              <w:rPr>
                <w:rFonts w:eastAsia="Calibri" w:cstheme="minorHAnsi"/>
                <w:color w:val="000000"/>
                <w:sz w:val="21"/>
                <w:szCs w:val="21"/>
              </w:rPr>
              <w:t xml:space="preserve"> a stereotypical, foreign, or exotic manner?</w:t>
            </w:r>
          </w:p>
        </w:tc>
        <w:tc>
          <w:tcPr>
            <w:tcW w:w="6429" w:type="dxa"/>
          </w:tcPr>
          <w:p w14:paraId="3A6DD7F8" w14:textId="77777777" w:rsidR="00B22FDE" w:rsidRPr="00740EF9" w:rsidRDefault="00B22FDE" w:rsidP="00764890"/>
        </w:tc>
      </w:tr>
      <w:tr w:rsidR="00B22FDE" w14:paraId="72F99316" w14:textId="77777777" w:rsidTr="615DC371">
        <w:tc>
          <w:tcPr>
            <w:tcW w:w="1696" w:type="dxa"/>
            <w:vMerge/>
          </w:tcPr>
          <w:p w14:paraId="043CD140" w14:textId="77777777" w:rsidR="00B22FDE" w:rsidRPr="00B318FC" w:rsidRDefault="00B22FDE" w:rsidP="00764890">
            <w:pPr>
              <w:rPr>
                <w:color w:val="0070C0"/>
              </w:rPr>
            </w:pPr>
          </w:p>
        </w:tc>
        <w:tc>
          <w:tcPr>
            <w:tcW w:w="6265" w:type="dxa"/>
            <w:shd w:val="clear" w:color="auto" w:fill="D9D9D9" w:themeFill="background1" w:themeFillShade="D9"/>
          </w:tcPr>
          <w:p w14:paraId="2C343F25" w14:textId="3BB5C81A" w:rsidR="00454535" w:rsidRPr="008E47CF" w:rsidRDefault="00BB096A" w:rsidP="00764890">
            <w:pPr>
              <w:rPr>
                <w:rFonts w:eastAsia="Calibri" w:cstheme="minorHAnsi"/>
                <w:color w:val="000000"/>
                <w:sz w:val="21"/>
                <w:szCs w:val="21"/>
              </w:rPr>
            </w:pPr>
            <w:r w:rsidRPr="00D760CE">
              <w:rPr>
                <w:rFonts w:eastAsia="Calibri" w:cstheme="minorHAnsi"/>
                <w:color w:val="000000"/>
                <w:sz w:val="21"/>
                <w:szCs w:val="21"/>
              </w:rPr>
              <w:t>How does the curriculum avoid prejudice, racism, discrimination, exploitation, oppression, sexism, privilege, ableism, and inter-group conflict (</w:t>
            </w:r>
            <w:proofErr w:type="spellStart"/>
            <w:r w:rsidRPr="00D760CE">
              <w:rPr>
                <w:rFonts w:eastAsia="Calibri" w:cstheme="minorHAnsi"/>
                <w:color w:val="000000"/>
                <w:sz w:val="21"/>
                <w:szCs w:val="21"/>
              </w:rPr>
              <w:t>Sadker</w:t>
            </w:r>
            <w:proofErr w:type="spellEnd"/>
            <w:r w:rsidRPr="00D760CE">
              <w:rPr>
                <w:rFonts w:eastAsia="Calibri" w:cstheme="minorHAnsi"/>
                <w:color w:val="000000"/>
                <w:sz w:val="21"/>
                <w:szCs w:val="21"/>
              </w:rPr>
              <w:t xml:space="preserve">, n.d., Unreality section, </w:t>
            </w:r>
            <w:proofErr w:type="gramStart"/>
            <w:r w:rsidRPr="00D760CE">
              <w:rPr>
                <w:rFonts w:eastAsia="Calibri" w:cstheme="minorHAnsi"/>
                <w:color w:val="000000"/>
                <w:sz w:val="21"/>
                <w:szCs w:val="21"/>
              </w:rPr>
              <w:t>para.</w:t>
            </w:r>
            <w:proofErr w:type="gramEnd"/>
            <w:r w:rsidRPr="00D760CE">
              <w:rPr>
                <w:rFonts w:eastAsia="Calibri" w:cstheme="minorHAnsi"/>
                <w:color w:val="000000"/>
                <w:sz w:val="21"/>
                <w:szCs w:val="21"/>
              </w:rPr>
              <w:t xml:space="preserve"> 1)?</w:t>
            </w:r>
          </w:p>
        </w:tc>
        <w:tc>
          <w:tcPr>
            <w:tcW w:w="6429" w:type="dxa"/>
            <w:shd w:val="clear" w:color="auto" w:fill="D9D9D9" w:themeFill="background1" w:themeFillShade="D9"/>
          </w:tcPr>
          <w:p w14:paraId="6B673F70" w14:textId="77777777" w:rsidR="00B22FDE" w:rsidRPr="00740EF9" w:rsidRDefault="00B22FDE" w:rsidP="00764890"/>
        </w:tc>
      </w:tr>
      <w:tr w:rsidR="00764890" w14:paraId="34A8B92F" w14:textId="77777777" w:rsidTr="615DC371">
        <w:tc>
          <w:tcPr>
            <w:tcW w:w="1696" w:type="dxa"/>
            <w:shd w:val="clear" w:color="auto" w:fill="A6A6A6" w:themeFill="background1" w:themeFillShade="A6"/>
          </w:tcPr>
          <w:p w14:paraId="00658236" w14:textId="77777777" w:rsidR="00764890" w:rsidRDefault="00764890" w:rsidP="00764890">
            <w:pPr>
              <w:rPr>
                <w:color w:val="0070C0"/>
              </w:rPr>
            </w:pPr>
          </w:p>
          <w:p w14:paraId="455667F0" w14:textId="77777777" w:rsidR="00A00CCA" w:rsidRDefault="00A00CCA" w:rsidP="00764890">
            <w:pPr>
              <w:rPr>
                <w:color w:val="0070C0"/>
              </w:rPr>
            </w:pPr>
          </w:p>
          <w:p w14:paraId="4D729892" w14:textId="77777777" w:rsidR="00A00CCA" w:rsidRDefault="00A00CCA" w:rsidP="00764890">
            <w:pPr>
              <w:rPr>
                <w:color w:val="0070C0"/>
              </w:rPr>
            </w:pPr>
          </w:p>
          <w:p w14:paraId="6F18193A" w14:textId="77777777" w:rsidR="00A00CCA" w:rsidRDefault="00A00CCA" w:rsidP="00764890">
            <w:pPr>
              <w:rPr>
                <w:color w:val="0070C0"/>
              </w:rPr>
            </w:pPr>
          </w:p>
          <w:p w14:paraId="5499A8DF" w14:textId="744BD686" w:rsidR="00A00CCA" w:rsidRDefault="00CF269F" w:rsidP="00CF269F">
            <w:pPr>
              <w:jc w:val="center"/>
              <w:rPr>
                <w:b/>
                <w:bCs/>
              </w:rPr>
            </w:pPr>
            <w:r>
              <w:rPr>
                <w:b/>
                <w:bCs/>
              </w:rPr>
              <w:t>Implementation Implications</w:t>
            </w:r>
          </w:p>
          <w:p w14:paraId="1C71C3AD" w14:textId="536C7407" w:rsidR="006806B5" w:rsidRDefault="006806B5" w:rsidP="00CF269F">
            <w:pPr>
              <w:jc w:val="center"/>
              <w:rPr>
                <w:b/>
                <w:bCs/>
              </w:rPr>
            </w:pPr>
          </w:p>
          <w:p w14:paraId="02AC0285" w14:textId="1BE950DB" w:rsidR="006806B5" w:rsidRDefault="006806B5" w:rsidP="00CF269F">
            <w:pPr>
              <w:jc w:val="center"/>
              <w:rPr>
                <w:b/>
                <w:bCs/>
              </w:rPr>
            </w:pPr>
          </w:p>
          <w:p w14:paraId="60CF9F4D" w14:textId="181F313B" w:rsidR="006806B5" w:rsidRDefault="006806B5" w:rsidP="00CF269F">
            <w:pPr>
              <w:jc w:val="center"/>
              <w:rPr>
                <w:b/>
                <w:bCs/>
              </w:rPr>
            </w:pPr>
          </w:p>
          <w:p w14:paraId="36355739" w14:textId="25F043C9" w:rsidR="00A00CCA" w:rsidRPr="00B318FC" w:rsidRDefault="00A00CCA" w:rsidP="00764890">
            <w:pPr>
              <w:rPr>
                <w:color w:val="0070C0"/>
              </w:rPr>
            </w:pPr>
          </w:p>
        </w:tc>
        <w:tc>
          <w:tcPr>
            <w:tcW w:w="12694" w:type="dxa"/>
            <w:gridSpan w:val="2"/>
            <w:shd w:val="clear" w:color="auto" w:fill="FFFFFF" w:themeFill="background1"/>
          </w:tcPr>
          <w:p w14:paraId="3760062E" w14:textId="77777777" w:rsidR="00764890" w:rsidRPr="00740EF9" w:rsidRDefault="00764890" w:rsidP="00764890"/>
        </w:tc>
      </w:tr>
    </w:tbl>
    <w:p w14:paraId="52683A7F" w14:textId="633ACB6C" w:rsidR="00C06174" w:rsidRDefault="00C06174" w:rsidP="00764890">
      <w:pPr>
        <w:rPr>
          <w:color w:val="0070C0"/>
          <w:sz w:val="32"/>
          <w:szCs w:val="32"/>
        </w:rPr>
      </w:pPr>
    </w:p>
    <w:p w14:paraId="4226E8E6" w14:textId="77777777" w:rsidR="003154C1" w:rsidRDefault="003154C1" w:rsidP="00764890">
      <w:pPr>
        <w:rPr>
          <w:color w:val="0070C0"/>
          <w:sz w:val="32"/>
          <w:szCs w:val="32"/>
        </w:rPr>
      </w:pPr>
    </w:p>
    <w:tbl>
      <w:tblPr>
        <w:tblStyle w:val="TableGrid"/>
        <w:tblW w:w="0" w:type="auto"/>
        <w:tblLook w:val="04A0" w:firstRow="1" w:lastRow="0" w:firstColumn="1" w:lastColumn="0" w:noHBand="0" w:noVBand="1"/>
      </w:tblPr>
      <w:tblGrid>
        <w:gridCol w:w="1696"/>
        <w:gridCol w:w="6261"/>
        <w:gridCol w:w="6433"/>
      </w:tblGrid>
      <w:tr w:rsidR="00C06174" w:rsidRPr="00733966" w14:paraId="3C340175" w14:textId="77777777" w:rsidTr="615DC371">
        <w:tc>
          <w:tcPr>
            <w:tcW w:w="1696" w:type="dxa"/>
            <w:shd w:val="clear" w:color="auto" w:fill="A6A6A6" w:themeFill="background1" w:themeFillShade="A6"/>
          </w:tcPr>
          <w:p w14:paraId="787C8358" w14:textId="77777777" w:rsidR="00C06174" w:rsidRPr="00A63513" w:rsidRDefault="00C06174" w:rsidP="00045EA8">
            <w:pPr>
              <w:jc w:val="center"/>
            </w:pPr>
            <w:bookmarkStart w:id="0" w:name="_Hlk40365248"/>
            <w:bookmarkStart w:id="1" w:name="_Hlk40365272"/>
            <w:r>
              <w:t>Category</w:t>
            </w:r>
          </w:p>
        </w:tc>
        <w:tc>
          <w:tcPr>
            <w:tcW w:w="6261" w:type="dxa"/>
            <w:shd w:val="clear" w:color="auto" w:fill="A6A6A6" w:themeFill="background1" w:themeFillShade="A6"/>
          </w:tcPr>
          <w:p w14:paraId="5BC7C0CD" w14:textId="77777777" w:rsidR="00C06174" w:rsidRPr="00733966" w:rsidRDefault="00C06174" w:rsidP="00045EA8">
            <w:pPr>
              <w:jc w:val="center"/>
              <w:rPr>
                <w:b/>
                <w:bCs/>
              </w:rPr>
            </w:pPr>
            <w:r>
              <w:rPr>
                <w:b/>
                <w:bCs/>
              </w:rPr>
              <w:t>Guiding Questions</w:t>
            </w:r>
          </w:p>
        </w:tc>
        <w:tc>
          <w:tcPr>
            <w:tcW w:w="6433" w:type="dxa"/>
            <w:shd w:val="clear" w:color="auto" w:fill="A6A6A6" w:themeFill="background1" w:themeFillShade="A6"/>
          </w:tcPr>
          <w:p w14:paraId="193C5FCD" w14:textId="77777777" w:rsidR="00C06174" w:rsidRPr="00733966" w:rsidRDefault="00C06174" w:rsidP="00045EA8">
            <w:pPr>
              <w:jc w:val="center"/>
              <w:rPr>
                <w:b/>
                <w:bCs/>
              </w:rPr>
            </w:pPr>
            <w:r w:rsidRPr="00733966">
              <w:rPr>
                <w:b/>
                <w:bCs/>
              </w:rPr>
              <w:t>Evidence Collected from Curriculum</w:t>
            </w:r>
          </w:p>
        </w:tc>
      </w:tr>
      <w:tr w:rsidR="00C06174" w:rsidRPr="00B318FC" w14:paraId="5F866AD6" w14:textId="77777777" w:rsidTr="615DC371">
        <w:tc>
          <w:tcPr>
            <w:tcW w:w="1696" w:type="dxa"/>
            <w:vMerge w:val="restart"/>
            <w:shd w:val="clear" w:color="auto" w:fill="FFD966" w:themeFill="accent4" w:themeFillTint="99"/>
          </w:tcPr>
          <w:p w14:paraId="3228B202" w14:textId="77777777" w:rsidR="00C06174" w:rsidRDefault="00C06174" w:rsidP="00045EA8">
            <w:pPr>
              <w:jc w:val="center"/>
              <w:rPr>
                <w:color w:val="0070C0"/>
              </w:rPr>
            </w:pPr>
          </w:p>
          <w:p w14:paraId="5E41BBA9" w14:textId="77777777" w:rsidR="00C06174" w:rsidRDefault="00C06174" w:rsidP="00045EA8">
            <w:pPr>
              <w:jc w:val="center"/>
              <w:rPr>
                <w:color w:val="0070C0"/>
              </w:rPr>
            </w:pPr>
          </w:p>
          <w:p w14:paraId="1AC9206F" w14:textId="77777777" w:rsidR="00C06174" w:rsidRDefault="00C06174" w:rsidP="00045EA8">
            <w:pPr>
              <w:jc w:val="center"/>
              <w:rPr>
                <w:b/>
                <w:bCs/>
              </w:rPr>
            </w:pPr>
          </w:p>
          <w:p w14:paraId="30EDF43A" w14:textId="77777777" w:rsidR="00C06174" w:rsidRDefault="00C06174" w:rsidP="00045EA8">
            <w:pPr>
              <w:jc w:val="center"/>
              <w:rPr>
                <w:b/>
                <w:bCs/>
              </w:rPr>
            </w:pPr>
          </w:p>
          <w:p w14:paraId="33BF2DDD" w14:textId="77777777" w:rsidR="00C06174" w:rsidRDefault="00C06174" w:rsidP="00045EA8">
            <w:pPr>
              <w:jc w:val="center"/>
              <w:rPr>
                <w:b/>
                <w:bCs/>
              </w:rPr>
            </w:pPr>
          </w:p>
          <w:p w14:paraId="484F3420" w14:textId="77777777" w:rsidR="00C06174" w:rsidRDefault="00C06174" w:rsidP="00045EA8">
            <w:pPr>
              <w:jc w:val="center"/>
              <w:rPr>
                <w:b/>
                <w:bCs/>
              </w:rPr>
            </w:pPr>
          </w:p>
          <w:p w14:paraId="218F9C59" w14:textId="77777777" w:rsidR="00C06174" w:rsidRDefault="00C06174" w:rsidP="00045EA8">
            <w:pPr>
              <w:jc w:val="center"/>
              <w:rPr>
                <w:b/>
                <w:bCs/>
              </w:rPr>
            </w:pPr>
          </w:p>
          <w:p w14:paraId="1D6DCB51" w14:textId="0EEC45DE" w:rsidR="00C06174" w:rsidRPr="00277D93" w:rsidRDefault="007A4DB3" w:rsidP="00045EA8">
            <w:pPr>
              <w:jc w:val="center"/>
              <w:rPr>
                <w:b/>
                <w:bCs/>
              </w:rPr>
            </w:pPr>
            <w:r>
              <w:rPr>
                <w:b/>
                <w:bCs/>
              </w:rPr>
              <w:t>Cultural Awareness</w:t>
            </w:r>
          </w:p>
        </w:tc>
        <w:tc>
          <w:tcPr>
            <w:tcW w:w="6261" w:type="dxa"/>
          </w:tcPr>
          <w:p w14:paraId="67B19150" w14:textId="77777777" w:rsidR="00E71555" w:rsidRPr="00D760CE" w:rsidRDefault="00E71555" w:rsidP="00E71555">
            <w:pPr>
              <w:spacing w:before="119" w:line="227" w:lineRule="exact"/>
              <w:jc w:val="both"/>
              <w:textAlignment w:val="baseline"/>
              <w:rPr>
                <w:rFonts w:eastAsia="Calibri" w:cstheme="minorHAnsi"/>
                <w:color w:val="000000"/>
                <w:sz w:val="21"/>
                <w:szCs w:val="21"/>
              </w:rPr>
            </w:pPr>
            <w:r w:rsidRPr="00D760CE">
              <w:rPr>
                <w:rFonts w:eastAsia="Calibri" w:cstheme="minorHAnsi"/>
                <w:color w:val="000000"/>
                <w:sz w:val="21"/>
                <w:szCs w:val="21"/>
              </w:rPr>
              <w:t xml:space="preserve">How do the teacher's materials provide guidance on customizing </w:t>
            </w:r>
            <w:proofErr w:type="gramStart"/>
            <w:r w:rsidRPr="00D760CE">
              <w:rPr>
                <w:rFonts w:eastAsia="Calibri" w:cstheme="minorHAnsi"/>
                <w:color w:val="000000"/>
                <w:sz w:val="21"/>
                <w:szCs w:val="21"/>
              </w:rPr>
              <w:t>and</w:t>
            </w:r>
            <w:proofErr w:type="gramEnd"/>
          </w:p>
          <w:p w14:paraId="181D92C2" w14:textId="02BF0B57" w:rsidR="003154C1" w:rsidRPr="008E47CF" w:rsidRDefault="00E71555" w:rsidP="00E71555">
            <w:pPr>
              <w:rPr>
                <w:rFonts w:eastAsia="Calibri" w:cstheme="minorHAnsi"/>
                <w:color w:val="000000"/>
                <w:sz w:val="21"/>
                <w:szCs w:val="21"/>
              </w:rPr>
            </w:pPr>
            <w:r w:rsidRPr="00D760CE">
              <w:rPr>
                <w:rFonts w:eastAsia="Calibri" w:cstheme="minorHAnsi"/>
                <w:color w:val="000000"/>
                <w:sz w:val="21"/>
                <w:szCs w:val="21"/>
              </w:rPr>
              <w:t xml:space="preserve">supplementing the curriculum to reflect the cultures, traditions, </w:t>
            </w:r>
            <w:r w:rsidR="009F68B4" w:rsidRPr="00D760CE">
              <w:rPr>
                <w:rFonts w:eastAsia="Calibri" w:cstheme="minorHAnsi"/>
                <w:color w:val="000000"/>
                <w:sz w:val="21"/>
                <w:szCs w:val="21"/>
              </w:rPr>
              <w:t>backgrounds,</w:t>
            </w:r>
            <w:r w:rsidRPr="00D760CE">
              <w:rPr>
                <w:rFonts w:eastAsia="Calibri" w:cstheme="minorHAnsi"/>
                <w:color w:val="000000"/>
                <w:sz w:val="21"/>
                <w:szCs w:val="21"/>
              </w:rPr>
              <w:t xml:space="preserve"> and interests of the student population? Does the curriculum prompt the teacher to augment lessons to reflect the student population?</w:t>
            </w:r>
          </w:p>
        </w:tc>
        <w:tc>
          <w:tcPr>
            <w:tcW w:w="6433" w:type="dxa"/>
          </w:tcPr>
          <w:p w14:paraId="4193D606" w14:textId="77777777" w:rsidR="00C06174" w:rsidRPr="00B318FC" w:rsidRDefault="00C06174" w:rsidP="00045EA8">
            <w:pPr>
              <w:rPr>
                <w:color w:val="0070C0"/>
              </w:rPr>
            </w:pPr>
          </w:p>
        </w:tc>
      </w:tr>
      <w:tr w:rsidR="00C06174" w:rsidRPr="00740EF9" w14:paraId="178D6396" w14:textId="77777777" w:rsidTr="615DC371">
        <w:tc>
          <w:tcPr>
            <w:tcW w:w="1696" w:type="dxa"/>
            <w:vMerge/>
          </w:tcPr>
          <w:p w14:paraId="42BD7899" w14:textId="77777777" w:rsidR="00C06174" w:rsidRPr="00B318FC" w:rsidRDefault="00C06174" w:rsidP="00045EA8">
            <w:pPr>
              <w:rPr>
                <w:color w:val="0070C0"/>
              </w:rPr>
            </w:pPr>
          </w:p>
        </w:tc>
        <w:tc>
          <w:tcPr>
            <w:tcW w:w="6261" w:type="dxa"/>
            <w:shd w:val="clear" w:color="auto" w:fill="D9D9D9" w:themeFill="background1" w:themeFillShade="D9"/>
          </w:tcPr>
          <w:p w14:paraId="141065CB" w14:textId="1C907217" w:rsidR="003154C1" w:rsidRPr="008E47CF" w:rsidRDefault="00D603F0" w:rsidP="005F782D">
            <w:pPr>
              <w:rPr>
                <w:rFonts w:eastAsia="Calibri" w:cstheme="minorHAnsi"/>
                <w:color w:val="000000"/>
                <w:sz w:val="21"/>
                <w:szCs w:val="21"/>
              </w:rPr>
            </w:pPr>
            <w:r w:rsidRPr="00D760CE">
              <w:rPr>
                <w:rFonts w:eastAsia="Calibri" w:cstheme="minorHAnsi"/>
                <w:color w:val="000000"/>
                <w:sz w:val="21"/>
                <w:szCs w:val="21"/>
              </w:rPr>
              <w:t>How do the teacher's materials provide guidance on being aware of one’s biases and the gaps between one’s own culture and students’ cultures? Does the curriculum prompt the teacher to reflect on one’s biases and the gaps between one’s own culture and students’ cultures?</w:t>
            </w:r>
          </w:p>
        </w:tc>
        <w:tc>
          <w:tcPr>
            <w:tcW w:w="6433" w:type="dxa"/>
            <w:shd w:val="clear" w:color="auto" w:fill="D9D9D9" w:themeFill="background1" w:themeFillShade="D9"/>
          </w:tcPr>
          <w:p w14:paraId="541DD551" w14:textId="77777777" w:rsidR="00C06174" w:rsidRPr="00740EF9" w:rsidRDefault="00C06174" w:rsidP="00045EA8"/>
        </w:tc>
      </w:tr>
      <w:tr w:rsidR="00C06174" w:rsidRPr="00740EF9" w14:paraId="0F9431BF" w14:textId="77777777" w:rsidTr="615DC371">
        <w:tc>
          <w:tcPr>
            <w:tcW w:w="1696" w:type="dxa"/>
            <w:vMerge/>
          </w:tcPr>
          <w:p w14:paraId="26323F32" w14:textId="77777777" w:rsidR="00C06174" w:rsidRPr="00B318FC" w:rsidRDefault="00C06174" w:rsidP="00045EA8">
            <w:pPr>
              <w:rPr>
                <w:color w:val="0070C0"/>
              </w:rPr>
            </w:pPr>
          </w:p>
        </w:tc>
        <w:tc>
          <w:tcPr>
            <w:tcW w:w="6261" w:type="dxa"/>
          </w:tcPr>
          <w:p w14:paraId="5CC75B7C" w14:textId="4811857C" w:rsidR="003154C1" w:rsidRPr="00ED04F9" w:rsidRDefault="00645522" w:rsidP="005F782D">
            <w:pPr>
              <w:tabs>
                <w:tab w:val="left" w:pos="864"/>
              </w:tabs>
              <w:spacing w:line="239" w:lineRule="exact"/>
              <w:jc w:val="both"/>
              <w:textAlignment w:val="baseline"/>
              <w:rPr>
                <w:rFonts w:eastAsia="Calibri" w:cstheme="minorHAnsi"/>
                <w:color w:val="000000"/>
                <w:sz w:val="21"/>
                <w:szCs w:val="21"/>
              </w:rPr>
            </w:pPr>
            <w:r w:rsidRPr="00D760CE">
              <w:rPr>
                <w:rFonts w:eastAsia="Calibri" w:cstheme="minorHAnsi"/>
                <w:color w:val="000000"/>
                <w:sz w:val="21"/>
                <w:szCs w:val="21"/>
              </w:rPr>
              <w:t>How does the curriculum highlight non-dominant populations and their strengths and assets, so that students of diverse race, class, gender, ability, and sexual orientation can relate and participate fully?</w:t>
            </w:r>
          </w:p>
        </w:tc>
        <w:tc>
          <w:tcPr>
            <w:tcW w:w="6433" w:type="dxa"/>
          </w:tcPr>
          <w:p w14:paraId="670D982F" w14:textId="77777777" w:rsidR="00C06174" w:rsidRPr="00740EF9" w:rsidRDefault="00C06174" w:rsidP="00045EA8"/>
        </w:tc>
      </w:tr>
      <w:tr w:rsidR="00C06174" w:rsidRPr="00740EF9" w14:paraId="5361DA25" w14:textId="77777777" w:rsidTr="00353FF1">
        <w:trPr>
          <w:trHeight w:val="4886"/>
        </w:trPr>
        <w:tc>
          <w:tcPr>
            <w:tcW w:w="1696" w:type="dxa"/>
            <w:shd w:val="clear" w:color="auto" w:fill="A6A6A6" w:themeFill="background1" w:themeFillShade="A6"/>
          </w:tcPr>
          <w:p w14:paraId="3ECF39A1" w14:textId="77777777" w:rsidR="00C06174" w:rsidRDefault="00C06174" w:rsidP="00045EA8">
            <w:pPr>
              <w:rPr>
                <w:color w:val="0070C0"/>
              </w:rPr>
            </w:pPr>
          </w:p>
          <w:p w14:paraId="2EE2A60A" w14:textId="77777777" w:rsidR="00C06174" w:rsidRDefault="00C06174" w:rsidP="00045EA8">
            <w:pPr>
              <w:rPr>
                <w:color w:val="0070C0"/>
              </w:rPr>
            </w:pPr>
          </w:p>
          <w:p w14:paraId="48088B39" w14:textId="77777777" w:rsidR="00C06174" w:rsidRDefault="00C06174" w:rsidP="00045EA8">
            <w:pPr>
              <w:rPr>
                <w:color w:val="0070C0"/>
              </w:rPr>
            </w:pPr>
          </w:p>
          <w:p w14:paraId="0AD1EF63" w14:textId="793A3589" w:rsidR="00C06174" w:rsidRDefault="00C06174" w:rsidP="00045EA8">
            <w:pPr>
              <w:rPr>
                <w:color w:val="0070C0"/>
              </w:rPr>
            </w:pPr>
          </w:p>
          <w:p w14:paraId="4924CF6A" w14:textId="5C0C0BCA" w:rsidR="00353FF1" w:rsidRDefault="00353FF1" w:rsidP="00045EA8">
            <w:pPr>
              <w:rPr>
                <w:color w:val="0070C0"/>
              </w:rPr>
            </w:pPr>
          </w:p>
          <w:p w14:paraId="552D3AEB" w14:textId="433A30D9" w:rsidR="00353FF1" w:rsidRDefault="00353FF1" w:rsidP="00045EA8">
            <w:pPr>
              <w:rPr>
                <w:color w:val="0070C0"/>
              </w:rPr>
            </w:pPr>
          </w:p>
          <w:p w14:paraId="2A70C8C1" w14:textId="77777777" w:rsidR="00353FF1" w:rsidRDefault="00353FF1" w:rsidP="00045EA8">
            <w:pPr>
              <w:rPr>
                <w:color w:val="0070C0"/>
              </w:rPr>
            </w:pPr>
          </w:p>
          <w:p w14:paraId="32D96F19" w14:textId="77777777" w:rsidR="00C06174" w:rsidRDefault="00C06174" w:rsidP="00045EA8">
            <w:pPr>
              <w:jc w:val="center"/>
              <w:rPr>
                <w:b/>
                <w:bCs/>
              </w:rPr>
            </w:pPr>
            <w:r>
              <w:rPr>
                <w:b/>
                <w:bCs/>
              </w:rPr>
              <w:t>Implementation Implications</w:t>
            </w:r>
          </w:p>
          <w:p w14:paraId="5A87EC85" w14:textId="77777777" w:rsidR="00C06174" w:rsidRDefault="00C06174" w:rsidP="00045EA8">
            <w:pPr>
              <w:jc w:val="center"/>
              <w:rPr>
                <w:b/>
                <w:bCs/>
              </w:rPr>
            </w:pPr>
          </w:p>
          <w:p w14:paraId="2B898D60" w14:textId="77777777" w:rsidR="00C06174" w:rsidRDefault="00C06174" w:rsidP="00045EA8">
            <w:pPr>
              <w:jc w:val="center"/>
              <w:rPr>
                <w:b/>
                <w:bCs/>
              </w:rPr>
            </w:pPr>
          </w:p>
          <w:p w14:paraId="5701544C" w14:textId="77777777" w:rsidR="00C06174" w:rsidRDefault="00C06174" w:rsidP="00045EA8">
            <w:pPr>
              <w:jc w:val="center"/>
              <w:rPr>
                <w:b/>
                <w:bCs/>
              </w:rPr>
            </w:pPr>
          </w:p>
          <w:p w14:paraId="690BB8D4" w14:textId="77777777" w:rsidR="00C06174" w:rsidRDefault="00C06174" w:rsidP="00045EA8">
            <w:pPr>
              <w:rPr>
                <w:color w:val="0070C0"/>
              </w:rPr>
            </w:pPr>
          </w:p>
          <w:p w14:paraId="01BE9953" w14:textId="77777777" w:rsidR="00C06174" w:rsidRPr="00B318FC" w:rsidRDefault="00C06174" w:rsidP="00045EA8">
            <w:pPr>
              <w:rPr>
                <w:color w:val="0070C0"/>
              </w:rPr>
            </w:pPr>
          </w:p>
        </w:tc>
        <w:tc>
          <w:tcPr>
            <w:tcW w:w="12694" w:type="dxa"/>
            <w:gridSpan w:val="2"/>
            <w:shd w:val="clear" w:color="auto" w:fill="FFFFFF" w:themeFill="background1"/>
          </w:tcPr>
          <w:p w14:paraId="080CC5BF" w14:textId="77777777" w:rsidR="00C06174" w:rsidRPr="00740EF9" w:rsidRDefault="00C06174" w:rsidP="00045EA8"/>
        </w:tc>
      </w:tr>
      <w:bookmarkEnd w:id="0"/>
    </w:tbl>
    <w:p w14:paraId="244A5C35" w14:textId="73CE711E" w:rsidR="00C06174" w:rsidRDefault="00C06174" w:rsidP="00764890">
      <w:pPr>
        <w:rPr>
          <w:color w:val="0070C0"/>
          <w:sz w:val="32"/>
          <w:szCs w:val="32"/>
        </w:rPr>
      </w:pPr>
    </w:p>
    <w:p w14:paraId="51D69325" w14:textId="628C250F" w:rsidR="003154C1" w:rsidRDefault="003154C1" w:rsidP="00764890">
      <w:pPr>
        <w:rPr>
          <w:color w:val="0070C0"/>
          <w:sz w:val="32"/>
          <w:szCs w:val="32"/>
        </w:rPr>
      </w:pPr>
    </w:p>
    <w:p w14:paraId="35768AD0" w14:textId="079BF078" w:rsidR="003154C1" w:rsidRDefault="003154C1" w:rsidP="00764890">
      <w:pPr>
        <w:rPr>
          <w:color w:val="0070C0"/>
          <w:sz w:val="32"/>
          <w:szCs w:val="32"/>
        </w:rPr>
      </w:pPr>
    </w:p>
    <w:p w14:paraId="0464DEC6" w14:textId="61106624" w:rsidR="003154C1" w:rsidRDefault="003154C1" w:rsidP="00764890">
      <w:pPr>
        <w:rPr>
          <w:color w:val="0070C0"/>
          <w:sz w:val="32"/>
          <w:szCs w:val="32"/>
        </w:rPr>
      </w:pPr>
    </w:p>
    <w:p w14:paraId="4D2B4CEB" w14:textId="37E5AD25" w:rsidR="003154C1" w:rsidRDefault="003154C1" w:rsidP="00764890">
      <w:pPr>
        <w:rPr>
          <w:color w:val="0070C0"/>
          <w:sz w:val="32"/>
          <w:szCs w:val="32"/>
        </w:rPr>
      </w:pPr>
    </w:p>
    <w:p w14:paraId="01304806" w14:textId="3447D104" w:rsidR="001F7C77" w:rsidRDefault="001F7C77" w:rsidP="00764890">
      <w:pPr>
        <w:rPr>
          <w:color w:val="0070C0"/>
          <w:sz w:val="32"/>
          <w:szCs w:val="32"/>
        </w:rPr>
      </w:pPr>
    </w:p>
    <w:p w14:paraId="457E7631" w14:textId="77777777" w:rsidR="003154C1" w:rsidRDefault="003154C1" w:rsidP="00764890">
      <w:pPr>
        <w:rPr>
          <w:color w:val="0070C0"/>
          <w:sz w:val="32"/>
          <w:szCs w:val="32"/>
        </w:rPr>
      </w:pPr>
    </w:p>
    <w:tbl>
      <w:tblPr>
        <w:tblStyle w:val="TableGrid"/>
        <w:tblW w:w="0" w:type="auto"/>
        <w:tblLook w:val="04A0" w:firstRow="1" w:lastRow="0" w:firstColumn="1" w:lastColumn="0" w:noHBand="0" w:noVBand="1"/>
      </w:tblPr>
      <w:tblGrid>
        <w:gridCol w:w="1696"/>
        <w:gridCol w:w="6262"/>
        <w:gridCol w:w="6432"/>
      </w:tblGrid>
      <w:tr w:rsidR="00C9252D" w:rsidRPr="00733966" w14:paraId="0548BE5F" w14:textId="77777777" w:rsidTr="615DC371">
        <w:tc>
          <w:tcPr>
            <w:tcW w:w="1696" w:type="dxa"/>
            <w:shd w:val="clear" w:color="auto" w:fill="A6A6A6" w:themeFill="background1" w:themeFillShade="A6"/>
          </w:tcPr>
          <w:bookmarkEnd w:id="1"/>
          <w:p w14:paraId="45EA40ED" w14:textId="77777777" w:rsidR="00C9252D" w:rsidRPr="00A63513" w:rsidRDefault="00C9252D" w:rsidP="00045EA8">
            <w:pPr>
              <w:jc w:val="center"/>
            </w:pPr>
            <w:r>
              <w:t>Category</w:t>
            </w:r>
          </w:p>
        </w:tc>
        <w:tc>
          <w:tcPr>
            <w:tcW w:w="6262" w:type="dxa"/>
            <w:shd w:val="clear" w:color="auto" w:fill="A6A6A6" w:themeFill="background1" w:themeFillShade="A6"/>
          </w:tcPr>
          <w:p w14:paraId="46C98D74" w14:textId="77777777" w:rsidR="00C9252D" w:rsidRPr="00733966" w:rsidRDefault="00C9252D" w:rsidP="00045EA8">
            <w:pPr>
              <w:jc w:val="center"/>
              <w:rPr>
                <w:b/>
                <w:bCs/>
              </w:rPr>
            </w:pPr>
            <w:r>
              <w:rPr>
                <w:b/>
                <w:bCs/>
              </w:rPr>
              <w:t>Guiding Questions</w:t>
            </w:r>
          </w:p>
        </w:tc>
        <w:tc>
          <w:tcPr>
            <w:tcW w:w="6432" w:type="dxa"/>
            <w:shd w:val="clear" w:color="auto" w:fill="A6A6A6" w:themeFill="background1" w:themeFillShade="A6"/>
          </w:tcPr>
          <w:p w14:paraId="3D446E50" w14:textId="77777777" w:rsidR="00C9252D" w:rsidRPr="00733966" w:rsidRDefault="00C9252D" w:rsidP="00045EA8">
            <w:pPr>
              <w:jc w:val="center"/>
              <w:rPr>
                <w:b/>
                <w:bCs/>
              </w:rPr>
            </w:pPr>
            <w:r w:rsidRPr="00733966">
              <w:rPr>
                <w:b/>
                <w:bCs/>
              </w:rPr>
              <w:t>Evidence Collected from Curriculum</w:t>
            </w:r>
          </w:p>
        </w:tc>
      </w:tr>
      <w:tr w:rsidR="00CB56F0" w:rsidRPr="00B318FC" w14:paraId="401D0630" w14:textId="77777777" w:rsidTr="615DC371">
        <w:tc>
          <w:tcPr>
            <w:tcW w:w="1696" w:type="dxa"/>
            <w:vMerge w:val="restart"/>
            <w:shd w:val="clear" w:color="auto" w:fill="9CC2E5" w:themeFill="accent5" w:themeFillTint="99"/>
          </w:tcPr>
          <w:p w14:paraId="52BBE4AE" w14:textId="77777777" w:rsidR="00CB56F0" w:rsidRDefault="00CB56F0" w:rsidP="00045EA8">
            <w:pPr>
              <w:jc w:val="center"/>
              <w:rPr>
                <w:color w:val="0070C0"/>
              </w:rPr>
            </w:pPr>
          </w:p>
          <w:p w14:paraId="0D40BA76" w14:textId="77777777" w:rsidR="00CB56F0" w:rsidRDefault="00CB56F0" w:rsidP="00045EA8">
            <w:pPr>
              <w:jc w:val="center"/>
              <w:rPr>
                <w:color w:val="0070C0"/>
              </w:rPr>
            </w:pPr>
          </w:p>
          <w:p w14:paraId="073DECC7" w14:textId="77777777" w:rsidR="00CB56F0" w:rsidRDefault="00CB56F0" w:rsidP="00045EA8">
            <w:pPr>
              <w:jc w:val="center"/>
              <w:rPr>
                <w:b/>
                <w:bCs/>
              </w:rPr>
            </w:pPr>
          </w:p>
          <w:p w14:paraId="6DB152B3" w14:textId="77777777" w:rsidR="00CB56F0" w:rsidRDefault="00CB56F0" w:rsidP="00045EA8">
            <w:pPr>
              <w:jc w:val="center"/>
              <w:rPr>
                <w:b/>
                <w:bCs/>
              </w:rPr>
            </w:pPr>
          </w:p>
          <w:p w14:paraId="46BE9703" w14:textId="77777777" w:rsidR="00CB56F0" w:rsidRDefault="00CB56F0" w:rsidP="00045EA8">
            <w:pPr>
              <w:jc w:val="center"/>
              <w:rPr>
                <w:b/>
                <w:bCs/>
              </w:rPr>
            </w:pPr>
          </w:p>
          <w:p w14:paraId="18B41CD8" w14:textId="77777777" w:rsidR="00CB56F0" w:rsidRDefault="00CB56F0" w:rsidP="00045EA8">
            <w:pPr>
              <w:jc w:val="center"/>
              <w:rPr>
                <w:b/>
                <w:bCs/>
              </w:rPr>
            </w:pPr>
          </w:p>
          <w:p w14:paraId="50C33A46" w14:textId="77777777" w:rsidR="00CB56F0" w:rsidRDefault="00CB56F0" w:rsidP="00045EA8">
            <w:pPr>
              <w:jc w:val="center"/>
              <w:rPr>
                <w:b/>
                <w:bCs/>
              </w:rPr>
            </w:pPr>
          </w:p>
          <w:p w14:paraId="6C9F64EC" w14:textId="6AB88300" w:rsidR="00CB56F0" w:rsidRPr="00277D93" w:rsidRDefault="00CB56F0" w:rsidP="00045EA8">
            <w:pPr>
              <w:jc w:val="center"/>
              <w:rPr>
                <w:b/>
                <w:bCs/>
              </w:rPr>
            </w:pPr>
            <w:r>
              <w:rPr>
                <w:b/>
                <w:bCs/>
              </w:rPr>
              <w:t>Instructional Engagement</w:t>
            </w:r>
          </w:p>
        </w:tc>
        <w:tc>
          <w:tcPr>
            <w:tcW w:w="6262" w:type="dxa"/>
          </w:tcPr>
          <w:p w14:paraId="39EF953D" w14:textId="3E425447" w:rsidR="004650CB" w:rsidRPr="001F7C77" w:rsidRDefault="00CB56F0" w:rsidP="00045EA8">
            <w:pPr>
              <w:rPr>
                <w:rFonts w:eastAsia="Calibri" w:cstheme="minorHAnsi"/>
                <w:color w:val="000000"/>
              </w:rPr>
            </w:pPr>
            <w:r w:rsidRPr="00D760CE">
              <w:rPr>
                <w:rFonts w:eastAsia="Calibri" w:cstheme="minorHAnsi"/>
                <w:color w:val="000000"/>
              </w:rPr>
              <w:t>How do the teacher's materials provide guidance on engaging students in culturally sensitive experiential learning activities? Does implementation take into consideration students’ lived experiences</w:t>
            </w:r>
            <w:r w:rsidR="00BD164E">
              <w:rPr>
                <w:rFonts w:eastAsia="Calibri" w:cstheme="minorHAnsi"/>
                <w:color w:val="000000"/>
              </w:rPr>
              <w:t xml:space="preserve"> </w:t>
            </w:r>
            <w:r>
              <w:rPr>
                <w:rFonts w:eastAsia="Calibri" w:cstheme="minorHAnsi"/>
                <w:color w:val="000000"/>
              </w:rPr>
              <w:t>(i.e. alternative algorithms)</w:t>
            </w:r>
            <w:r w:rsidR="00BD164E">
              <w:rPr>
                <w:rFonts w:eastAsia="Calibri" w:cstheme="minorHAnsi"/>
                <w:color w:val="000000"/>
              </w:rPr>
              <w:t>?</w:t>
            </w:r>
          </w:p>
        </w:tc>
        <w:tc>
          <w:tcPr>
            <w:tcW w:w="6432" w:type="dxa"/>
          </w:tcPr>
          <w:p w14:paraId="373D2764" w14:textId="77777777" w:rsidR="00CB56F0" w:rsidRPr="00B318FC" w:rsidRDefault="00CB56F0" w:rsidP="00045EA8">
            <w:pPr>
              <w:rPr>
                <w:color w:val="0070C0"/>
              </w:rPr>
            </w:pPr>
          </w:p>
        </w:tc>
      </w:tr>
      <w:tr w:rsidR="00CB56F0" w:rsidRPr="00740EF9" w14:paraId="2272ED87" w14:textId="77777777" w:rsidTr="615DC371">
        <w:tc>
          <w:tcPr>
            <w:tcW w:w="1696" w:type="dxa"/>
            <w:vMerge/>
          </w:tcPr>
          <w:p w14:paraId="348337A1" w14:textId="77777777" w:rsidR="00CB56F0" w:rsidRPr="00B318FC" w:rsidRDefault="00CB56F0" w:rsidP="00045EA8">
            <w:pPr>
              <w:rPr>
                <w:color w:val="0070C0"/>
              </w:rPr>
            </w:pPr>
          </w:p>
        </w:tc>
        <w:tc>
          <w:tcPr>
            <w:tcW w:w="6262" w:type="dxa"/>
            <w:shd w:val="clear" w:color="auto" w:fill="D9D9D9" w:themeFill="background1" w:themeFillShade="D9"/>
          </w:tcPr>
          <w:p w14:paraId="28F9ED50" w14:textId="062413E2" w:rsidR="004650CB" w:rsidRPr="001F7C77" w:rsidRDefault="00CB56F0" w:rsidP="00045EA8">
            <w:pPr>
              <w:rPr>
                <w:rFonts w:eastAsia="Calibri" w:cstheme="minorHAnsi"/>
                <w:color w:val="000000"/>
                <w:spacing w:val="-1"/>
              </w:rPr>
            </w:pPr>
            <w:r w:rsidRPr="00D760CE">
              <w:rPr>
                <w:rFonts w:eastAsia="Calibri" w:cstheme="minorHAnsi"/>
                <w:color w:val="000000"/>
                <w:spacing w:val="-1"/>
              </w:rPr>
              <w:t>How do the teacher's materials provide guidance on giving students opportunities to contribute their prior knowledge and experience with a topic, not just respond to the text and information presented in class? Does the curriculum acknowledge and value children and family’s experiential knowledge?</w:t>
            </w:r>
          </w:p>
        </w:tc>
        <w:tc>
          <w:tcPr>
            <w:tcW w:w="6432" w:type="dxa"/>
            <w:shd w:val="clear" w:color="auto" w:fill="D9D9D9" w:themeFill="background1" w:themeFillShade="D9"/>
          </w:tcPr>
          <w:p w14:paraId="1711D707" w14:textId="77777777" w:rsidR="00CB56F0" w:rsidRPr="00740EF9" w:rsidRDefault="00CB56F0" w:rsidP="00045EA8"/>
        </w:tc>
      </w:tr>
      <w:tr w:rsidR="00CB56F0" w:rsidRPr="00740EF9" w14:paraId="3687ECEC" w14:textId="77777777" w:rsidTr="615DC371">
        <w:tc>
          <w:tcPr>
            <w:tcW w:w="1696" w:type="dxa"/>
            <w:vMerge/>
          </w:tcPr>
          <w:p w14:paraId="2E0F208C" w14:textId="77777777" w:rsidR="00CB56F0" w:rsidRPr="00B318FC" w:rsidRDefault="00CB56F0" w:rsidP="00045EA8">
            <w:pPr>
              <w:rPr>
                <w:color w:val="0070C0"/>
              </w:rPr>
            </w:pPr>
          </w:p>
        </w:tc>
        <w:tc>
          <w:tcPr>
            <w:tcW w:w="6262" w:type="dxa"/>
          </w:tcPr>
          <w:p w14:paraId="15605FCC" w14:textId="18EE6A82" w:rsidR="004650CB" w:rsidRPr="001F7C77" w:rsidRDefault="00CB56F0" w:rsidP="00045EA8">
            <w:pPr>
              <w:tabs>
                <w:tab w:val="left" w:pos="864"/>
              </w:tabs>
              <w:spacing w:line="239" w:lineRule="exact"/>
              <w:jc w:val="both"/>
              <w:textAlignment w:val="baseline"/>
              <w:rPr>
                <w:rFonts w:eastAsia="Calibri" w:cstheme="minorHAnsi"/>
                <w:color w:val="000000"/>
              </w:rPr>
            </w:pPr>
            <w:r w:rsidRPr="00D760CE">
              <w:rPr>
                <w:rFonts w:eastAsia="Calibri" w:cstheme="minorHAnsi"/>
                <w:color w:val="000000"/>
              </w:rPr>
              <w:t>How do the teacher's materials provide guidance on seeing diverse student identities as assets and strengths that can advance individual and group learning, rather than seen as challenges or difficulties to be overcome? Does the curriculum prompt the teacher to embrace and value diversity as positive?</w:t>
            </w:r>
          </w:p>
        </w:tc>
        <w:tc>
          <w:tcPr>
            <w:tcW w:w="6432" w:type="dxa"/>
          </w:tcPr>
          <w:p w14:paraId="2D47CCC8" w14:textId="77777777" w:rsidR="00CB56F0" w:rsidRPr="00740EF9" w:rsidRDefault="00CB56F0" w:rsidP="00045EA8"/>
        </w:tc>
      </w:tr>
      <w:tr w:rsidR="00CB56F0" w:rsidRPr="00740EF9" w14:paraId="427172A2" w14:textId="77777777" w:rsidTr="615DC371">
        <w:tc>
          <w:tcPr>
            <w:tcW w:w="1696" w:type="dxa"/>
            <w:vMerge/>
          </w:tcPr>
          <w:p w14:paraId="1798F287" w14:textId="77777777" w:rsidR="00CB56F0" w:rsidRPr="00B318FC" w:rsidRDefault="00CB56F0" w:rsidP="00045EA8">
            <w:pPr>
              <w:rPr>
                <w:color w:val="0070C0"/>
              </w:rPr>
            </w:pPr>
          </w:p>
        </w:tc>
        <w:tc>
          <w:tcPr>
            <w:tcW w:w="6262" w:type="dxa"/>
            <w:shd w:val="clear" w:color="auto" w:fill="D9D9D9" w:themeFill="background1" w:themeFillShade="D9"/>
          </w:tcPr>
          <w:p w14:paraId="619CE1E2" w14:textId="1AA40C5C" w:rsidR="004650CB" w:rsidRPr="00740EF9" w:rsidRDefault="00CB56F0" w:rsidP="00045EA8">
            <w:r>
              <w:t>How does the curriculum make connections to social, political, or environmental issues that may be of concern to students?</w:t>
            </w:r>
          </w:p>
        </w:tc>
        <w:tc>
          <w:tcPr>
            <w:tcW w:w="6432" w:type="dxa"/>
            <w:shd w:val="clear" w:color="auto" w:fill="D9D9D9" w:themeFill="background1" w:themeFillShade="D9"/>
          </w:tcPr>
          <w:p w14:paraId="5A9287D2" w14:textId="77777777" w:rsidR="00CB56F0" w:rsidRPr="00740EF9" w:rsidRDefault="00CB56F0" w:rsidP="00045EA8"/>
        </w:tc>
      </w:tr>
      <w:tr w:rsidR="00CB56F0" w:rsidRPr="00740EF9" w14:paraId="7C64B295" w14:textId="77777777" w:rsidTr="615DC371">
        <w:tc>
          <w:tcPr>
            <w:tcW w:w="1696" w:type="dxa"/>
            <w:vMerge/>
          </w:tcPr>
          <w:p w14:paraId="19671254" w14:textId="77777777" w:rsidR="00CB56F0" w:rsidRPr="00B318FC" w:rsidRDefault="00CB56F0" w:rsidP="00045EA8">
            <w:pPr>
              <w:rPr>
                <w:color w:val="0070C0"/>
              </w:rPr>
            </w:pPr>
          </w:p>
        </w:tc>
        <w:tc>
          <w:tcPr>
            <w:tcW w:w="6262" w:type="dxa"/>
            <w:shd w:val="clear" w:color="auto" w:fill="auto"/>
          </w:tcPr>
          <w:p w14:paraId="2236F2A4" w14:textId="0AEF5CEA" w:rsidR="004650CB" w:rsidRDefault="00F75ED4" w:rsidP="00045EA8">
            <w:r>
              <w:t>Do the teacher materials offer suggestions to use social-emotional learning (SEL) approaches to draw out and build upon students’ assets to facilitate learning?</w:t>
            </w:r>
          </w:p>
        </w:tc>
        <w:tc>
          <w:tcPr>
            <w:tcW w:w="6432" w:type="dxa"/>
            <w:shd w:val="clear" w:color="auto" w:fill="auto"/>
          </w:tcPr>
          <w:p w14:paraId="3107340D" w14:textId="77777777" w:rsidR="00CB56F0" w:rsidRPr="00740EF9" w:rsidRDefault="00CB56F0" w:rsidP="00045EA8"/>
        </w:tc>
      </w:tr>
      <w:tr w:rsidR="00C9252D" w:rsidRPr="00740EF9" w14:paraId="633C261B" w14:textId="77777777" w:rsidTr="00353FF1">
        <w:trPr>
          <w:trHeight w:val="3401"/>
        </w:trPr>
        <w:tc>
          <w:tcPr>
            <w:tcW w:w="1696" w:type="dxa"/>
            <w:shd w:val="clear" w:color="auto" w:fill="A6A6A6" w:themeFill="background1" w:themeFillShade="A6"/>
          </w:tcPr>
          <w:p w14:paraId="1547878C" w14:textId="77777777" w:rsidR="00C9252D" w:rsidRDefault="00C9252D" w:rsidP="00045EA8">
            <w:pPr>
              <w:rPr>
                <w:color w:val="0070C0"/>
              </w:rPr>
            </w:pPr>
          </w:p>
          <w:p w14:paraId="7427BF67" w14:textId="77777777" w:rsidR="00C9252D" w:rsidRDefault="00C9252D" w:rsidP="00045EA8">
            <w:pPr>
              <w:rPr>
                <w:color w:val="0070C0"/>
              </w:rPr>
            </w:pPr>
          </w:p>
          <w:p w14:paraId="33E6BF71" w14:textId="77777777" w:rsidR="00C9252D" w:rsidRDefault="00C9252D" w:rsidP="00045EA8">
            <w:pPr>
              <w:rPr>
                <w:color w:val="0070C0"/>
              </w:rPr>
            </w:pPr>
          </w:p>
          <w:p w14:paraId="364B109E" w14:textId="77777777" w:rsidR="00C9252D" w:rsidRDefault="00C9252D" w:rsidP="00045EA8">
            <w:pPr>
              <w:rPr>
                <w:color w:val="0070C0"/>
              </w:rPr>
            </w:pPr>
          </w:p>
          <w:p w14:paraId="78C94A92" w14:textId="77777777" w:rsidR="00C9252D" w:rsidRDefault="00C9252D" w:rsidP="00045EA8">
            <w:pPr>
              <w:jc w:val="center"/>
              <w:rPr>
                <w:b/>
                <w:bCs/>
              </w:rPr>
            </w:pPr>
            <w:r>
              <w:rPr>
                <w:b/>
                <w:bCs/>
              </w:rPr>
              <w:t>Implementation Implications</w:t>
            </w:r>
          </w:p>
          <w:p w14:paraId="5D3EC6B0" w14:textId="77777777" w:rsidR="00C9252D" w:rsidRDefault="00C9252D" w:rsidP="00045EA8">
            <w:pPr>
              <w:jc w:val="center"/>
              <w:rPr>
                <w:b/>
                <w:bCs/>
              </w:rPr>
            </w:pPr>
          </w:p>
          <w:p w14:paraId="4C592D52" w14:textId="77777777" w:rsidR="00C9252D" w:rsidRDefault="00C9252D" w:rsidP="00045EA8">
            <w:pPr>
              <w:jc w:val="center"/>
              <w:rPr>
                <w:b/>
                <w:bCs/>
              </w:rPr>
            </w:pPr>
          </w:p>
          <w:p w14:paraId="142C8566" w14:textId="77777777" w:rsidR="00C9252D" w:rsidRDefault="00C9252D" w:rsidP="00045EA8">
            <w:pPr>
              <w:jc w:val="center"/>
              <w:rPr>
                <w:b/>
                <w:bCs/>
              </w:rPr>
            </w:pPr>
          </w:p>
          <w:p w14:paraId="0B064F08" w14:textId="77777777" w:rsidR="00C9252D" w:rsidRDefault="00C9252D" w:rsidP="00045EA8">
            <w:pPr>
              <w:rPr>
                <w:color w:val="0070C0"/>
              </w:rPr>
            </w:pPr>
          </w:p>
          <w:p w14:paraId="0C12A97F" w14:textId="77777777" w:rsidR="00C9252D" w:rsidRPr="00B318FC" w:rsidRDefault="00C9252D" w:rsidP="00045EA8">
            <w:pPr>
              <w:rPr>
                <w:color w:val="0070C0"/>
              </w:rPr>
            </w:pPr>
          </w:p>
        </w:tc>
        <w:tc>
          <w:tcPr>
            <w:tcW w:w="12694" w:type="dxa"/>
            <w:gridSpan w:val="2"/>
            <w:shd w:val="clear" w:color="auto" w:fill="FFFFFF" w:themeFill="background1"/>
          </w:tcPr>
          <w:p w14:paraId="42FD1A78" w14:textId="77777777" w:rsidR="00C9252D" w:rsidRPr="00740EF9" w:rsidRDefault="00C9252D" w:rsidP="00045EA8"/>
        </w:tc>
      </w:tr>
    </w:tbl>
    <w:p w14:paraId="158ED60C" w14:textId="05534839" w:rsidR="00C9252D" w:rsidRDefault="00C9252D" w:rsidP="00C9252D">
      <w:pPr>
        <w:rPr>
          <w:color w:val="0070C0"/>
          <w:sz w:val="32"/>
          <w:szCs w:val="32"/>
        </w:rPr>
      </w:pPr>
    </w:p>
    <w:p w14:paraId="6706637C" w14:textId="7B236F66" w:rsidR="001B24A2" w:rsidRDefault="001B24A2" w:rsidP="00C9252D">
      <w:pPr>
        <w:rPr>
          <w:color w:val="0070C0"/>
          <w:sz w:val="32"/>
          <w:szCs w:val="32"/>
        </w:rPr>
      </w:pPr>
    </w:p>
    <w:p w14:paraId="197596B7" w14:textId="4F23AB4B" w:rsidR="001B24A2" w:rsidRDefault="001B24A2" w:rsidP="00C9252D">
      <w:pPr>
        <w:rPr>
          <w:color w:val="0070C0"/>
          <w:sz w:val="32"/>
          <w:szCs w:val="32"/>
        </w:rPr>
      </w:pPr>
    </w:p>
    <w:p w14:paraId="266F3AA8" w14:textId="6DFC3DD1" w:rsidR="001B24A2" w:rsidRDefault="001B24A2" w:rsidP="00C9252D">
      <w:pPr>
        <w:rPr>
          <w:color w:val="0070C0"/>
          <w:sz w:val="32"/>
          <w:szCs w:val="32"/>
        </w:rPr>
      </w:pPr>
    </w:p>
    <w:p w14:paraId="659C5645" w14:textId="77777777" w:rsidR="00865367" w:rsidRDefault="00865367" w:rsidP="00C9252D">
      <w:pPr>
        <w:rPr>
          <w:color w:val="0070C0"/>
          <w:sz w:val="32"/>
          <w:szCs w:val="32"/>
        </w:rPr>
      </w:pPr>
    </w:p>
    <w:tbl>
      <w:tblPr>
        <w:tblStyle w:val="TableGrid"/>
        <w:tblW w:w="0" w:type="auto"/>
        <w:tblLook w:val="04A0" w:firstRow="1" w:lastRow="0" w:firstColumn="1" w:lastColumn="0" w:noHBand="0" w:noVBand="1"/>
      </w:tblPr>
      <w:tblGrid>
        <w:gridCol w:w="1696"/>
        <w:gridCol w:w="6260"/>
        <w:gridCol w:w="6434"/>
      </w:tblGrid>
      <w:tr w:rsidR="00C9252D" w:rsidRPr="00733966" w14:paraId="56CE36A1" w14:textId="77777777" w:rsidTr="615DC371">
        <w:tc>
          <w:tcPr>
            <w:tcW w:w="1696" w:type="dxa"/>
            <w:shd w:val="clear" w:color="auto" w:fill="A6A6A6" w:themeFill="background1" w:themeFillShade="A6"/>
          </w:tcPr>
          <w:p w14:paraId="40673759" w14:textId="77777777" w:rsidR="00C9252D" w:rsidRPr="00A63513" w:rsidRDefault="00C9252D" w:rsidP="00045EA8">
            <w:pPr>
              <w:jc w:val="center"/>
            </w:pPr>
            <w:r>
              <w:t>Category</w:t>
            </w:r>
          </w:p>
        </w:tc>
        <w:tc>
          <w:tcPr>
            <w:tcW w:w="6260" w:type="dxa"/>
            <w:shd w:val="clear" w:color="auto" w:fill="A6A6A6" w:themeFill="background1" w:themeFillShade="A6"/>
          </w:tcPr>
          <w:p w14:paraId="52C317D7" w14:textId="77777777" w:rsidR="00C9252D" w:rsidRPr="00733966" w:rsidRDefault="00C9252D" w:rsidP="00045EA8">
            <w:pPr>
              <w:jc w:val="center"/>
              <w:rPr>
                <w:b/>
                <w:bCs/>
              </w:rPr>
            </w:pPr>
            <w:r>
              <w:rPr>
                <w:b/>
                <w:bCs/>
              </w:rPr>
              <w:t>Guiding Questions</w:t>
            </w:r>
          </w:p>
        </w:tc>
        <w:tc>
          <w:tcPr>
            <w:tcW w:w="6434" w:type="dxa"/>
            <w:shd w:val="clear" w:color="auto" w:fill="A6A6A6" w:themeFill="background1" w:themeFillShade="A6"/>
          </w:tcPr>
          <w:p w14:paraId="21766A06" w14:textId="77777777" w:rsidR="00C9252D" w:rsidRPr="00733966" w:rsidRDefault="00C9252D" w:rsidP="00045EA8">
            <w:pPr>
              <w:jc w:val="center"/>
              <w:rPr>
                <w:b/>
                <w:bCs/>
              </w:rPr>
            </w:pPr>
            <w:r w:rsidRPr="00733966">
              <w:rPr>
                <w:b/>
                <w:bCs/>
              </w:rPr>
              <w:t>Evidence Collected from Curriculum</w:t>
            </w:r>
          </w:p>
        </w:tc>
      </w:tr>
      <w:tr w:rsidR="00C9252D" w:rsidRPr="00B318FC" w14:paraId="37FC24D9" w14:textId="77777777" w:rsidTr="615DC371">
        <w:tc>
          <w:tcPr>
            <w:tcW w:w="1696" w:type="dxa"/>
            <w:vMerge w:val="restart"/>
            <w:shd w:val="clear" w:color="auto" w:fill="A8D08D" w:themeFill="accent6" w:themeFillTint="99"/>
          </w:tcPr>
          <w:p w14:paraId="40129F25" w14:textId="77777777" w:rsidR="00C9252D" w:rsidRDefault="00C9252D" w:rsidP="00045EA8">
            <w:pPr>
              <w:jc w:val="center"/>
              <w:rPr>
                <w:color w:val="0070C0"/>
              </w:rPr>
            </w:pPr>
          </w:p>
          <w:p w14:paraId="2570346C" w14:textId="77777777" w:rsidR="00C9252D" w:rsidRDefault="00C9252D" w:rsidP="00045EA8">
            <w:pPr>
              <w:jc w:val="center"/>
              <w:rPr>
                <w:color w:val="0070C0"/>
              </w:rPr>
            </w:pPr>
          </w:p>
          <w:p w14:paraId="5C97CEE0" w14:textId="77777777" w:rsidR="00C9252D" w:rsidRDefault="00C9252D" w:rsidP="00045EA8">
            <w:pPr>
              <w:jc w:val="center"/>
              <w:rPr>
                <w:b/>
                <w:bCs/>
              </w:rPr>
            </w:pPr>
          </w:p>
          <w:p w14:paraId="250B104D" w14:textId="103DC982" w:rsidR="00C9252D" w:rsidRPr="00277D93" w:rsidRDefault="00F96D7D" w:rsidP="00865367">
            <w:pPr>
              <w:jc w:val="center"/>
              <w:rPr>
                <w:b/>
                <w:bCs/>
              </w:rPr>
            </w:pPr>
            <w:r>
              <w:rPr>
                <w:b/>
                <w:bCs/>
              </w:rPr>
              <w:t>Critical Consciousness</w:t>
            </w:r>
          </w:p>
        </w:tc>
        <w:tc>
          <w:tcPr>
            <w:tcW w:w="6260" w:type="dxa"/>
          </w:tcPr>
          <w:p w14:paraId="347D20DB" w14:textId="30EE405F" w:rsidR="009C3611" w:rsidRPr="001F7C77" w:rsidRDefault="008B6301" w:rsidP="008B6301">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How do the materials avoid stereotypic depictions in terms of race, gender, sexuality, language, or ability?</w:t>
            </w:r>
            <w:r>
              <w:rPr>
                <w:rStyle w:val="eop"/>
                <w:rFonts w:ascii="Calibri" w:hAnsi="Calibri" w:cs="Calibri"/>
                <w:sz w:val="22"/>
                <w:szCs w:val="22"/>
              </w:rPr>
              <w:t> </w:t>
            </w:r>
          </w:p>
        </w:tc>
        <w:tc>
          <w:tcPr>
            <w:tcW w:w="6434" w:type="dxa"/>
          </w:tcPr>
          <w:p w14:paraId="3F6244F4" w14:textId="77777777" w:rsidR="00C9252D" w:rsidRPr="00B318FC" w:rsidRDefault="00C9252D" w:rsidP="00045EA8">
            <w:pPr>
              <w:rPr>
                <w:color w:val="0070C0"/>
              </w:rPr>
            </w:pPr>
          </w:p>
        </w:tc>
      </w:tr>
      <w:tr w:rsidR="00C9252D" w:rsidRPr="00740EF9" w14:paraId="0DB4307C" w14:textId="77777777" w:rsidTr="615DC371">
        <w:tc>
          <w:tcPr>
            <w:tcW w:w="1696" w:type="dxa"/>
            <w:vMerge/>
          </w:tcPr>
          <w:p w14:paraId="5F1E7B5C" w14:textId="77777777" w:rsidR="00C9252D" w:rsidRPr="00B318FC" w:rsidRDefault="00C9252D" w:rsidP="00045EA8">
            <w:pPr>
              <w:rPr>
                <w:color w:val="0070C0"/>
              </w:rPr>
            </w:pPr>
          </w:p>
        </w:tc>
        <w:tc>
          <w:tcPr>
            <w:tcW w:w="6260" w:type="dxa"/>
            <w:shd w:val="clear" w:color="auto" w:fill="D9D9D9" w:themeFill="background1" w:themeFillShade="D9"/>
          </w:tcPr>
          <w:p w14:paraId="2F6F7328" w14:textId="51750597" w:rsidR="009C3611" w:rsidRPr="00740EF9" w:rsidRDefault="00951DAB" w:rsidP="00045EA8">
            <w:r>
              <w:t>Do material</w:t>
            </w:r>
            <w:r w:rsidR="00A65FC2">
              <w:t>s</w:t>
            </w:r>
            <w:r w:rsidR="00313644">
              <w:t xml:space="preserve"> avoid using </w:t>
            </w:r>
            <w:r w:rsidR="00315841">
              <w:t>text</w:t>
            </w:r>
            <w:r w:rsidR="00313644">
              <w:t xml:space="preserve"> </w:t>
            </w:r>
            <w:r w:rsidR="00397A55">
              <w:t>and images that suggest groups of people were order-less or uncivi</w:t>
            </w:r>
            <w:r w:rsidR="00241688">
              <w:t>lized</w:t>
            </w:r>
            <w:r w:rsidR="00144BE6">
              <w:t xml:space="preserve"> </w:t>
            </w:r>
            <w:r w:rsidR="00315841">
              <w:t xml:space="preserve">as </w:t>
            </w:r>
            <w:r w:rsidR="00144BE6">
              <w:t>compared to the dominant culture?</w:t>
            </w:r>
          </w:p>
        </w:tc>
        <w:tc>
          <w:tcPr>
            <w:tcW w:w="6434" w:type="dxa"/>
            <w:shd w:val="clear" w:color="auto" w:fill="D9D9D9" w:themeFill="background1" w:themeFillShade="D9"/>
          </w:tcPr>
          <w:p w14:paraId="61A18D3C" w14:textId="77777777" w:rsidR="00C9252D" w:rsidRPr="00740EF9" w:rsidRDefault="00C9252D" w:rsidP="00045EA8"/>
        </w:tc>
      </w:tr>
      <w:tr w:rsidR="00C9252D" w:rsidRPr="00740EF9" w14:paraId="71ED0498" w14:textId="77777777" w:rsidTr="615DC371">
        <w:tc>
          <w:tcPr>
            <w:tcW w:w="1696" w:type="dxa"/>
            <w:vMerge/>
          </w:tcPr>
          <w:p w14:paraId="54B4B7EC" w14:textId="77777777" w:rsidR="00C9252D" w:rsidRPr="00B318FC" w:rsidRDefault="00C9252D" w:rsidP="00045EA8">
            <w:pPr>
              <w:rPr>
                <w:color w:val="0070C0"/>
              </w:rPr>
            </w:pPr>
          </w:p>
        </w:tc>
        <w:tc>
          <w:tcPr>
            <w:tcW w:w="6260" w:type="dxa"/>
          </w:tcPr>
          <w:p w14:paraId="3400BF63" w14:textId="74148521" w:rsidR="009C3611" w:rsidRPr="00ED04F9" w:rsidRDefault="006D3B03" w:rsidP="00045EA8">
            <w:pPr>
              <w:tabs>
                <w:tab w:val="left" w:pos="864"/>
              </w:tabs>
              <w:spacing w:line="239" w:lineRule="exact"/>
              <w:jc w:val="both"/>
              <w:textAlignment w:val="baseline"/>
              <w:rPr>
                <w:rFonts w:eastAsia="Calibri" w:cstheme="minorHAnsi"/>
                <w:color w:val="000000"/>
                <w:sz w:val="21"/>
                <w:szCs w:val="21"/>
              </w:rPr>
            </w:pPr>
            <w:r>
              <w:rPr>
                <w:rFonts w:eastAsia="Calibri" w:cstheme="minorHAnsi"/>
                <w:color w:val="000000"/>
                <w:sz w:val="21"/>
                <w:szCs w:val="21"/>
              </w:rPr>
              <w:t>How does the curriculum avoid centering one group’s cultural practices as the standard to which all other are compared</w:t>
            </w:r>
            <w:r w:rsidR="00E93104">
              <w:rPr>
                <w:rFonts w:eastAsia="Calibri" w:cstheme="minorHAnsi"/>
                <w:color w:val="000000"/>
                <w:sz w:val="21"/>
                <w:szCs w:val="21"/>
              </w:rPr>
              <w:t xml:space="preserve"> (i.e. Euro-centric, male-centric, etc</w:t>
            </w:r>
            <w:r w:rsidR="001B3964">
              <w:rPr>
                <w:rFonts w:eastAsia="Calibri" w:cstheme="minorHAnsi"/>
                <w:color w:val="000000"/>
                <w:sz w:val="21"/>
                <w:szCs w:val="21"/>
              </w:rPr>
              <w:t>.)?</w:t>
            </w:r>
          </w:p>
        </w:tc>
        <w:tc>
          <w:tcPr>
            <w:tcW w:w="6434" w:type="dxa"/>
          </w:tcPr>
          <w:p w14:paraId="1BBB0CF6" w14:textId="77777777" w:rsidR="00C9252D" w:rsidRPr="00740EF9" w:rsidRDefault="00C9252D" w:rsidP="00045EA8"/>
        </w:tc>
      </w:tr>
      <w:tr w:rsidR="00C9252D" w:rsidRPr="00740EF9" w14:paraId="782B3954" w14:textId="77777777" w:rsidTr="615DC371">
        <w:tc>
          <w:tcPr>
            <w:tcW w:w="1696" w:type="dxa"/>
            <w:shd w:val="clear" w:color="auto" w:fill="A6A6A6" w:themeFill="background1" w:themeFillShade="A6"/>
          </w:tcPr>
          <w:p w14:paraId="505F0284" w14:textId="77777777" w:rsidR="00C9252D" w:rsidRDefault="00C9252D" w:rsidP="00045EA8">
            <w:pPr>
              <w:rPr>
                <w:color w:val="0070C0"/>
              </w:rPr>
            </w:pPr>
          </w:p>
          <w:p w14:paraId="67F071AB" w14:textId="77777777" w:rsidR="00C9252D" w:rsidRDefault="00C9252D" w:rsidP="00045EA8">
            <w:pPr>
              <w:rPr>
                <w:color w:val="0070C0"/>
              </w:rPr>
            </w:pPr>
          </w:p>
          <w:p w14:paraId="0E45A6A8" w14:textId="77777777" w:rsidR="00C9252D" w:rsidRDefault="00C9252D" w:rsidP="00045EA8">
            <w:pPr>
              <w:rPr>
                <w:color w:val="0070C0"/>
              </w:rPr>
            </w:pPr>
          </w:p>
          <w:p w14:paraId="21174656" w14:textId="77777777" w:rsidR="00C9252D" w:rsidRDefault="00C9252D" w:rsidP="00045EA8">
            <w:pPr>
              <w:rPr>
                <w:color w:val="0070C0"/>
              </w:rPr>
            </w:pPr>
          </w:p>
          <w:p w14:paraId="14F219C7" w14:textId="77777777" w:rsidR="00C9252D" w:rsidRDefault="00C9252D" w:rsidP="00045EA8">
            <w:pPr>
              <w:jc w:val="center"/>
              <w:rPr>
                <w:b/>
                <w:bCs/>
              </w:rPr>
            </w:pPr>
            <w:r>
              <w:rPr>
                <w:b/>
                <w:bCs/>
              </w:rPr>
              <w:t>Implementation Implications</w:t>
            </w:r>
          </w:p>
          <w:p w14:paraId="26D3942D" w14:textId="77777777" w:rsidR="00C9252D" w:rsidRDefault="00C9252D" w:rsidP="00045EA8">
            <w:pPr>
              <w:jc w:val="center"/>
              <w:rPr>
                <w:b/>
                <w:bCs/>
              </w:rPr>
            </w:pPr>
          </w:p>
          <w:p w14:paraId="1DE8549F" w14:textId="77777777" w:rsidR="00C9252D" w:rsidRDefault="00C9252D" w:rsidP="00045EA8">
            <w:pPr>
              <w:jc w:val="center"/>
              <w:rPr>
                <w:b/>
                <w:bCs/>
              </w:rPr>
            </w:pPr>
          </w:p>
          <w:p w14:paraId="75031C2B" w14:textId="77777777" w:rsidR="00C9252D" w:rsidRDefault="00C9252D" w:rsidP="00045EA8">
            <w:pPr>
              <w:jc w:val="center"/>
              <w:rPr>
                <w:b/>
                <w:bCs/>
              </w:rPr>
            </w:pPr>
          </w:p>
          <w:p w14:paraId="135C979B" w14:textId="77777777" w:rsidR="00C9252D" w:rsidRDefault="00C9252D" w:rsidP="00045EA8">
            <w:pPr>
              <w:rPr>
                <w:color w:val="0070C0"/>
              </w:rPr>
            </w:pPr>
          </w:p>
          <w:p w14:paraId="6230E40E" w14:textId="77777777" w:rsidR="00C9252D" w:rsidRPr="00B318FC" w:rsidRDefault="00C9252D" w:rsidP="00045EA8">
            <w:pPr>
              <w:rPr>
                <w:color w:val="0070C0"/>
              </w:rPr>
            </w:pPr>
          </w:p>
        </w:tc>
        <w:tc>
          <w:tcPr>
            <w:tcW w:w="12694" w:type="dxa"/>
            <w:gridSpan w:val="2"/>
            <w:shd w:val="clear" w:color="auto" w:fill="FFFFFF" w:themeFill="background1"/>
          </w:tcPr>
          <w:p w14:paraId="08A9E99F" w14:textId="77777777" w:rsidR="00C9252D" w:rsidRPr="00740EF9" w:rsidRDefault="00C9252D" w:rsidP="00045EA8"/>
        </w:tc>
      </w:tr>
    </w:tbl>
    <w:p w14:paraId="2D43541D" w14:textId="77777777" w:rsidR="00C9252D" w:rsidRDefault="00C9252D" w:rsidP="00C9252D">
      <w:pPr>
        <w:rPr>
          <w:color w:val="0070C0"/>
          <w:sz w:val="32"/>
          <w:szCs w:val="32"/>
        </w:rPr>
      </w:pPr>
    </w:p>
    <w:p w14:paraId="068E8E91" w14:textId="77777777" w:rsidR="00F62466" w:rsidRDefault="00F62466" w:rsidP="00F62466">
      <w:pPr>
        <w:rPr>
          <w:color w:val="0070C0"/>
          <w:sz w:val="32"/>
          <w:szCs w:val="32"/>
        </w:rPr>
      </w:pPr>
    </w:p>
    <w:p w14:paraId="1B2B05BE" w14:textId="12B24B3E" w:rsidR="00C9252D" w:rsidRDefault="00C9252D" w:rsidP="00764890">
      <w:pPr>
        <w:rPr>
          <w:color w:val="0070C0"/>
          <w:sz w:val="32"/>
          <w:szCs w:val="32"/>
        </w:rPr>
      </w:pPr>
    </w:p>
    <w:p w14:paraId="5CFD416B" w14:textId="77777777" w:rsidR="00F62466" w:rsidRPr="00E27AE7" w:rsidRDefault="00F62466" w:rsidP="00764890">
      <w:pPr>
        <w:rPr>
          <w:color w:val="0070C0"/>
          <w:sz w:val="32"/>
          <w:szCs w:val="32"/>
        </w:rPr>
      </w:pPr>
    </w:p>
    <w:p w14:paraId="062BAC44" w14:textId="3B913A98" w:rsidR="2947F1CC" w:rsidRDefault="2947F1CC" w:rsidP="2947F1CC">
      <w:pPr>
        <w:rPr>
          <w:color w:val="0070C0"/>
          <w:sz w:val="32"/>
          <w:szCs w:val="32"/>
        </w:rPr>
      </w:pPr>
    </w:p>
    <w:p w14:paraId="68FBCF7E" w14:textId="02FBDF4D" w:rsidR="2947F1CC" w:rsidRDefault="2947F1CC" w:rsidP="2947F1CC">
      <w:pPr>
        <w:rPr>
          <w:color w:val="0070C0"/>
          <w:sz w:val="32"/>
          <w:szCs w:val="32"/>
        </w:rPr>
      </w:pPr>
    </w:p>
    <w:p w14:paraId="7882EF05" w14:textId="2C22FC60" w:rsidR="2947F1CC" w:rsidRDefault="2947F1CC" w:rsidP="2947F1CC">
      <w:pPr>
        <w:rPr>
          <w:color w:val="0070C0"/>
          <w:sz w:val="32"/>
          <w:szCs w:val="32"/>
        </w:rPr>
      </w:pPr>
    </w:p>
    <w:p w14:paraId="37F19A2D" w14:textId="6DCC59F8" w:rsidR="2947F1CC" w:rsidRDefault="2947F1CC" w:rsidP="2947F1CC">
      <w:pPr>
        <w:rPr>
          <w:color w:val="0070C0"/>
          <w:sz w:val="32"/>
          <w:szCs w:val="32"/>
        </w:rPr>
      </w:pPr>
    </w:p>
    <w:p w14:paraId="0EAE6C05" w14:textId="1B65D68B" w:rsidR="2947F1CC" w:rsidRDefault="2947F1CC" w:rsidP="2947F1CC">
      <w:pPr>
        <w:rPr>
          <w:color w:val="0070C0"/>
          <w:sz w:val="32"/>
          <w:szCs w:val="32"/>
        </w:rPr>
      </w:pPr>
    </w:p>
    <w:p w14:paraId="29C9A98A" w14:textId="6F19E573" w:rsidR="2947F1CC" w:rsidRDefault="2947F1CC" w:rsidP="2947F1CC">
      <w:pPr>
        <w:rPr>
          <w:color w:val="0070C0"/>
          <w:sz w:val="32"/>
          <w:szCs w:val="32"/>
        </w:rPr>
      </w:pPr>
    </w:p>
    <w:p w14:paraId="0419B258" w14:textId="77777777" w:rsidR="00353FF1" w:rsidRDefault="00353FF1" w:rsidP="2947F1CC">
      <w:pPr>
        <w:spacing w:before="572"/>
        <w:rPr>
          <w:rFonts w:ascii="Calibri" w:eastAsia="Calibri" w:hAnsi="Calibri" w:cs="Calibri"/>
        </w:rPr>
      </w:pPr>
    </w:p>
    <w:p w14:paraId="7D2A96BC" w14:textId="08F6EE1E" w:rsidR="0B467603" w:rsidRDefault="0B467603" w:rsidP="2947F1CC">
      <w:pPr>
        <w:spacing w:before="572"/>
        <w:rPr>
          <w:rFonts w:ascii="Calibri" w:eastAsia="Calibri" w:hAnsi="Calibri" w:cs="Calibri"/>
        </w:rPr>
      </w:pPr>
      <w:r w:rsidRPr="2947F1CC">
        <w:rPr>
          <w:rFonts w:ascii="Calibri" w:eastAsia="Calibri" w:hAnsi="Calibri" w:cs="Calibri"/>
        </w:rPr>
        <w:t>Adapted From:</w:t>
      </w:r>
    </w:p>
    <w:p w14:paraId="1B542546" w14:textId="683F8513" w:rsidR="0B467603" w:rsidRDefault="0B467603" w:rsidP="2947F1CC">
      <w:pPr>
        <w:spacing w:before="158"/>
        <w:ind w:left="216" w:right="864"/>
        <w:rPr>
          <w:rFonts w:ascii="Calibri" w:eastAsia="Calibri" w:hAnsi="Calibri" w:cs="Calibri"/>
        </w:rPr>
      </w:pPr>
      <w:proofErr w:type="spellStart"/>
      <w:r w:rsidRPr="2947F1CC">
        <w:rPr>
          <w:rFonts w:ascii="Calibri" w:eastAsia="Calibri" w:hAnsi="Calibri" w:cs="Calibri"/>
        </w:rPr>
        <w:t>Coomer</w:t>
      </w:r>
      <w:proofErr w:type="spellEnd"/>
      <w:r w:rsidRPr="2947F1CC">
        <w:rPr>
          <w:rFonts w:ascii="Calibri" w:eastAsia="Calibri" w:hAnsi="Calibri" w:cs="Calibri"/>
        </w:rPr>
        <w:t xml:space="preserve">, M. N., Skelton, S. M., Kyser, T. S., Warren, C., &amp; </w:t>
      </w:r>
      <w:proofErr w:type="spellStart"/>
      <w:r w:rsidRPr="2947F1CC">
        <w:rPr>
          <w:rFonts w:ascii="Calibri" w:eastAsia="Calibri" w:hAnsi="Calibri" w:cs="Calibri"/>
        </w:rPr>
        <w:t>Thorius</w:t>
      </w:r>
      <w:proofErr w:type="spellEnd"/>
      <w:r w:rsidRPr="2947F1CC">
        <w:rPr>
          <w:rFonts w:ascii="Calibri" w:eastAsia="Calibri" w:hAnsi="Calibri" w:cs="Calibri"/>
        </w:rPr>
        <w:t xml:space="preserve">, K. A. K. (2017). Assessing bias </w:t>
      </w:r>
      <w:proofErr w:type="gramStart"/>
      <w:r w:rsidRPr="2947F1CC">
        <w:rPr>
          <w:rFonts w:ascii="Calibri" w:eastAsia="Calibri" w:hAnsi="Calibri" w:cs="Calibri"/>
        </w:rPr>
        <w:t>In</w:t>
      </w:r>
      <w:proofErr w:type="gramEnd"/>
      <w:r w:rsidRPr="2947F1CC">
        <w:rPr>
          <w:rFonts w:ascii="Calibri" w:eastAsia="Calibri" w:hAnsi="Calibri" w:cs="Calibri"/>
        </w:rPr>
        <w:t xml:space="preserve"> standards and curricular materials. Equity Tool. Indianapolis, IN: Great Lakes Equity Center.</w:t>
      </w:r>
    </w:p>
    <w:p w14:paraId="2A435165" w14:textId="7BAE5C1B" w:rsidR="0B467603" w:rsidRDefault="0B467603" w:rsidP="2947F1CC">
      <w:pPr>
        <w:spacing w:before="163"/>
        <w:ind w:left="216" w:right="216"/>
        <w:rPr>
          <w:rFonts w:ascii="Calibri" w:eastAsia="Calibri" w:hAnsi="Calibri" w:cs="Calibri"/>
        </w:rPr>
      </w:pPr>
      <w:r w:rsidRPr="2947F1CC">
        <w:rPr>
          <w:rFonts w:ascii="Calibri" w:eastAsia="Calibri" w:hAnsi="Calibri" w:cs="Calibri"/>
        </w:rPr>
        <w:t>J. Bryan-Gooden, M. Hester, &amp; L. Q. Peoples (2019). Culturally Responsive Curriculum Scorecard. New York: Metropolitan Center for Research on Equity and the Transformation of Schools, New York University.</w:t>
      </w:r>
    </w:p>
    <w:p w14:paraId="1212C874" w14:textId="0526405D" w:rsidR="0B467603" w:rsidRDefault="0B467603" w:rsidP="2947F1CC">
      <w:pPr>
        <w:spacing w:before="163"/>
        <w:ind w:left="216"/>
        <w:rPr>
          <w:rFonts w:ascii="Calibri" w:eastAsia="Calibri" w:hAnsi="Calibri" w:cs="Calibri"/>
        </w:rPr>
      </w:pPr>
      <w:r w:rsidRPr="2947F1CC">
        <w:rPr>
          <w:rFonts w:ascii="Calibri" w:eastAsia="Calibri" w:hAnsi="Calibri" w:cs="Calibri"/>
        </w:rPr>
        <w:t xml:space="preserve">Social Emotional Learning and Equity Pitfalls and Recommendations. (n.d.). Retrieved March 3, 2020, from </w:t>
      </w:r>
      <w:r>
        <w:br/>
      </w:r>
      <w:hyperlink r:id="rId10">
        <w:r w:rsidRPr="2947F1CC">
          <w:rPr>
            <w:rStyle w:val="Hyperlink"/>
            <w:rFonts w:ascii="Calibri" w:eastAsia="Calibri" w:hAnsi="Calibri" w:cs="Calibri"/>
          </w:rPr>
          <w:t>https://nationalequityproject.org/about/social-emotional-learning-equity</w:t>
        </w:r>
      </w:hyperlink>
      <w:r w:rsidRPr="2947F1CC">
        <w:rPr>
          <w:rFonts w:ascii="Calibri" w:eastAsia="Calibri" w:hAnsi="Calibri" w:cs="Calibri"/>
          <w:u w:val="single"/>
        </w:rPr>
        <w:t xml:space="preserve"> </w:t>
      </w:r>
      <w:r w:rsidRPr="2947F1CC">
        <w:rPr>
          <w:rFonts w:ascii="Calibri" w:eastAsia="Calibri" w:hAnsi="Calibri" w:cs="Calibri"/>
        </w:rPr>
        <w:t xml:space="preserve"> </w:t>
      </w:r>
    </w:p>
    <w:p w14:paraId="6D1AD075" w14:textId="7EC84201" w:rsidR="0B467603" w:rsidRDefault="0B467603" w:rsidP="2947F1CC">
      <w:pPr>
        <w:spacing w:before="226"/>
        <w:rPr>
          <w:rFonts w:ascii="Calibri" w:eastAsia="Calibri" w:hAnsi="Calibri" w:cs="Calibri"/>
        </w:rPr>
      </w:pPr>
      <w:r w:rsidRPr="2947F1CC">
        <w:rPr>
          <w:rFonts w:ascii="Calibri" w:eastAsia="Calibri" w:hAnsi="Calibri" w:cs="Calibri"/>
        </w:rPr>
        <w:t>References:</w:t>
      </w:r>
    </w:p>
    <w:p w14:paraId="3C3760E4" w14:textId="34F29ABD" w:rsidR="0B467603" w:rsidRDefault="0B467603" w:rsidP="2947F1CC">
      <w:pPr>
        <w:spacing w:before="231"/>
        <w:ind w:left="216"/>
        <w:rPr>
          <w:rFonts w:ascii="Calibri" w:eastAsia="Calibri" w:hAnsi="Calibri" w:cs="Calibri"/>
        </w:rPr>
      </w:pPr>
      <w:r w:rsidRPr="2947F1CC">
        <w:rPr>
          <w:rFonts w:ascii="Calibri" w:eastAsia="Calibri" w:hAnsi="Calibri" w:cs="Calibri"/>
        </w:rPr>
        <w:t>Banks, J. A. (1997). Educating citizens in a multicultural society. Multicultural education series. New York, NY: Teaches College Press</w:t>
      </w:r>
    </w:p>
    <w:p w14:paraId="5C5CA0DC" w14:textId="02BE0A7D" w:rsidR="0B467603" w:rsidRDefault="0B467603" w:rsidP="2947F1CC">
      <w:pPr>
        <w:spacing w:before="163"/>
        <w:ind w:left="216" w:right="864"/>
        <w:rPr>
          <w:rFonts w:ascii="Calibri" w:eastAsia="Calibri" w:hAnsi="Calibri" w:cs="Calibri"/>
        </w:rPr>
      </w:pPr>
      <w:r w:rsidRPr="2947F1CC">
        <w:rPr>
          <w:rFonts w:ascii="Calibri" w:eastAsia="Calibri" w:hAnsi="Calibri" w:cs="Calibri"/>
        </w:rPr>
        <w:t xml:space="preserve">Duncan-Andrade, J. (2007). </w:t>
      </w:r>
      <w:proofErr w:type="spellStart"/>
      <w:r w:rsidRPr="2947F1CC">
        <w:rPr>
          <w:rFonts w:ascii="Calibri" w:eastAsia="Calibri" w:hAnsi="Calibri" w:cs="Calibri"/>
        </w:rPr>
        <w:t>Gangstas</w:t>
      </w:r>
      <w:proofErr w:type="spellEnd"/>
      <w:r w:rsidRPr="2947F1CC">
        <w:rPr>
          <w:rFonts w:ascii="Calibri" w:eastAsia="Calibri" w:hAnsi="Calibri" w:cs="Calibri"/>
        </w:rPr>
        <w:t xml:space="preserve">, </w:t>
      </w:r>
      <w:proofErr w:type="spellStart"/>
      <w:r w:rsidRPr="2947F1CC">
        <w:rPr>
          <w:rFonts w:ascii="Calibri" w:eastAsia="Calibri" w:hAnsi="Calibri" w:cs="Calibri"/>
        </w:rPr>
        <w:t>wankstas</w:t>
      </w:r>
      <w:proofErr w:type="spellEnd"/>
      <w:r w:rsidRPr="2947F1CC">
        <w:rPr>
          <w:rFonts w:ascii="Calibri" w:eastAsia="Calibri" w:hAnsi="Calibri" w:cs="Calibri"/>
        </w:rPr>
        <w:t xml:space="preserve">, and </w:t>
      </w:r>
      <w:proofErr w:type="spellStart"/>
      <w:r w:rsidRPr="2947F1CC">
        <w:rPr>
          <w:rFonts w:ascii="Calibri" w:eastAsia="Calibri" w:hAnsi="Calibri" w:cs="Calibri"/>
        </w:rPr>
        <w:t>ridas</w:t>
      </w:r>
      <w:proofErr w:type="spellEnd"/>
      <w:r w:rsidRPr="2947F1CC">
        <w:rPr>
          <w:rFonts w:ascii="Calibri" w:eastAsia="Calibri" w:hAnsi="Calibri" w:cs="Calibri"/>
        </w:rPr>
        <w:t>: Defining, developing, and supporting effective teachers in urban schools. International Journal of Qualitative Studies in Education, 20(6), 617-638.</w:t>
      </w:r>
      <w:hyperlink r:id="rId11">
        <w:r w:rsidRPr="2947F1CC">
          <w:rPr>
            <w:rStyle w:val="Hyperlink"/>
            <w:rFonts w:ascii="Calibri" w:eastAsia="Calibri" w:hAnsi="Calibri" w:cs="Calibri"/>
            <w:color w:val="0000FF"/>
          </w:rPr>
          <w:t xml:space="preserve"> </w:t>
        </w:r>
      </w:hyperlink>
      <w:r w:rsidRPr="2947F1CC">
        <w:rPr>
          <w:rFonts w:ascii="Calibri" w:eastAsia="Calibri" w:hAnsi="Calibri" w:cs="Calibri"/>
          <w:color w:val="0000FF"/>
          <w:u w:val="single"/>
        </w:rPr>
        <w:t>http://doi.org/10.1080/09518390701630767</w:t>
      </w:r>
      <w:r w:rsidRPr="2947F1CC">
        <w:rPr>
          <w:rFonts w:ascii="Calibri" w:eastAsia="Calibri" w:hAnsi="Calibri" w:cs="Calibri"/>
          <w:u w:val="single"/>
        </w:rPr>
        <w:t xml:space="preserve"> </w:t>
      </w:r>
      <w:r w:rsidRPr="2947F1CC">
        <w:rPr>
          <w:rFonts w:ascii="Calibri" w:eastAsia="Calibri" w:hAnsi="Calibri" w:cs="Calibri"/>
        </w:rPr>
        <w:t xml:space="preserve"> </w:t>
      </w:r>
    </w:p>
    <w:p w14:paraId="5AAA45AB" w14:textId="5D4705F0" w:rsidR="0B467603" w:rsidRDefault="0B467603" w:rsidP="2947F1CC">
      <w:pPr>
        <w:spacing w:before="163"/>
        <w:ind w:left="216" w:right="2304"/>
        <w:rPr>
          <w:rFonts w:ascii="Calibri" w:eastAsia="Calibri" w:hAnsi="Calibri" w:cs="Calibri"/>
        </w:rPr>
      </w:pPr>
      <w:r w:rsidRPr="2947F1CC">
        <w:rPr>
          <w:rFonts w:ascii="Calibri" w:eastAsia="Calibri" w:hAnsi="Calibri" w:cs="Calibri"/>
        </w:rPr>
        <w:t xml:space="preserve">Ladson-Billings, G. (1995). Toward a theory of culturally relevant pedagogy. American Educational Research Journal, 32, 465-491. </w:t>
      </w:r>
      <w:hyperlink r:id="rId12">
        <w:r w:rsidRPr="2947F1CC">
          <w:rPr>
            <w:rStyle w:val="Hyperlink"/>
            <w:rFonts w:ascii="Calibri" w:eastAsia="Calibri" w:hAnsi="Calibri" w:cs="Calibri"/>
            <w:color w:val="0000FF"/>
          </w:rPr>
          <w:t>http://doi.org/10.2307/1163320</w:t>
        </w:r>
      </w:hyperlink>
      <w:r w:rsidRPr="2947F1CC">
        <w:rPr>
          <w:rFonts w:ascii="Calibri" w:eastAsia="Calibri" w:hAnsi="Calibri" w:cs="Calibri"/>
          <w:u w:val="single"/>
        </w:rPr>
        <w:t xml:space="preserve"> </w:t>
      </w:r>
      <w:r w:rsidRPr="2947F1CC">
        <w:rPr>
          <w:rFonts w:ascii="Calibri" w:eastAsia="Calibri" w:hAnsi="Calibri" w:cs="Calibri"/>
        </w:rPr>
        <w:t xml:space="preserve"> </w:t>
      </w:r>
    </w:p>
    <w:p w14:paraId="4D6D4344" w14:textId="692AEDAE" w:rsidR="0B467603" w:rsidRDefault="0B467603" w:rsidP="2947F1CC">
      <w:pPr>
        <w:spacing w:before="158"/>
        <w:ind w:left="216" w:right="216"/>
        <w:rPr>
          <w:rFonts w:ascii="Calibri" w:eastAsia="Calibri" w:hAnsi="Calibri" w:cs="Calibri"/>
        </w:rPr>
      </w:pPr>
      <w:r w:rsidRPr="2947F1CC">
        <w:rPr>
          <w:rFonts w:ascii="Calibri" w:eastAsia="Calibri" w:hAnsi="Calibri" w:cs="Calibri"/>
        </w:rPr>
        <w:t xml:space="preserve">Mitchell, T. (2015). Identity and social action: The role of self-examination in systemic change. In Association of American Colleges &amp; Universities Online. Retrieved from </w:t>
      </w:r>
      <w:hyperlink r:id="rId13">
        <w:r w:rsidRPr="2947F1CC">
          <w:rPr>
            <w:rStyle w:val="Hyperlink"/>
            <w:rFonts w:ascii="Calibri" w:eastAsia="Calibri" w:hAnsi="Calibri" w:cs="Calibri"/>
          </w:rPr>
          <w:t>https://www.aacu.org/</w:t>
        </w:r>
      </w:hyperlink>
      <w:r w:rsidRPr="2947F1CC">
        <w:rPr>
          <w:rFonts w:ascii="Calibri" w:eastAsia="Calibri" w:hAnsi="Calibri" w:cs="Calibri"/>
        </w:rPr>
        <w:t xml:space="preserve"> </w:t>
      </w:r>
      <w:proofErr w:type="spellStart"/>
      <w:r w:rsidRPr="2947F1CC">
        <w:rPr>
          <w:rFonts w:ascii="Calibri" w:eastAsia="Calibri" w:hAnsi="Calibri" w:cs="Calibri"/>
        </w:rPr>
        <w:t>diversitydemocracy</w:t>
      </w:r>
      <w:proofErr w:type="spellEnd"/>
      <w:r w:rsidRPr="2947F1CC">
        <w:rPr>
          <w:rFonts w:ascii="Calibri" w:eastAsia="Calibri" w:hAnsi="Calibri" w:cs="Calibri"/>
        </w:rPr>
        <w:t>/2015/fall/</w:t>
      </w:r>
      <w:proofErr w:type="spellStart"/>
      <w:r w:rsidRPr="2947F1CC">
        <w:rPr>
          <w:rFonts w:ascii="Calibri" w:eastAsia="Calibri" w:hAnsi="Calibri" w:cs="Calibri"/>
        </w:rPr>
        <w:t>mitchell</w:t>
      </w:r>
      <w:proofErr w:type="spellEnd"/>
    </w:p>
    <w:p w14:paraId="48642021" w14:textId="3CA077FE" w:rsidR="2947F1CC" w:rsidRDefault="2947F1CC" w:rsidP="2947F1CC">
      <w:pPr>
        <w:ind w:left="216"/>
        <w:rPr>
          <w:rFonts w:ascii="Calibri" w:eastAsia="Calibri" w:hAnsi="Calibri" w:cs="Calibri"/>
        </w:rPr>
      </w:pPr>
    </w:p>
    <w:p w14:paraId="577B5337" w14:textId="43E422CA" w:rsidR="0B467603" w:rsidRDefault="0B467603" w:rsidP="2947F1CC">
      <w:pPr>
        <w:ind w:left="216"/>
        <w:rPr>
          <w:rFonts w:ascii="Calibri" w:eastAsia="Calibri" w:hAnsi="Calibri" w:cs="Calibri"/>
          <w:color w:val="0000FF"/>
        </w:rPr>
      </w:pPr>
      <w:proofErr w:type="spellStart"/>
      <w:r w:rsidRPr="2947F1CC">
        <w:rPr>
          <w:rFonts w:ascii="Calibri" w:eastAsia="Calibri" w:hAnsi="Calibri" w:cs="Calibri"/>
        </w:rPr>
        <w:t>Sadker</w:t>
      </w:r>
      <w:proofErr w:type="spellEnd"/>
      <w:r w:rsidRPr="2947F1CC">
        <w:rPr>
          <w:rFonts w:ascii="Calibri" w:eastAsia="Calibri" w:hAnsi="Calibri" w:cs="Calibri"/>
        </w:rPr>
        <w:t xml:space="preserve">, D. (n.d.) Seven forms of bias in instructional materials. Retrieved from </w:t>
      </w:r>
      <w:hyperlink r:id="rId14">
        <w:r w:rsidRPr="2947F1CC">
          <w:rPr>
            <w:rStyle w:val="Hyperlink"/>
            <w:rFonts w:ascii="Calibri" w:eastAsia="Calibri" w:hAnsi="Calibri" w:cs="Calibri"/>
            <w:color w:val="0000FF"/>
          </w:rPr>
          <w:t>http://www.sadker.org/curricularbias.html</w:t>
        </w:r>
      </w:hyperlink>
    </w:p>
    <w:p w14:paraId="71E13638" w14:textId="61A2F2DE" w:rsidR="2947F1CC" w:rsidRDefault="2947F1CC" w:rsidP="2947F1CC">
      <w:pPr>
        <w:rPr>
          <w:color w:val="0070C0"/>
          <w:sz w:val="32"/>
          <w:szCs w:val="32"/>
        </w:rPr>
      </w:pPr>
    </w:p>
    <w:sectPr w:rsidR="2947F1CC" w:rsidSect="000B411C">
      <w:head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313F3" w14:textId="77777777" w:rsidR="00FE5B9E" w:rsidRDefault="00FE5B9E" w:rsidP="00353FF1">
      <w:r>
        <w:separator/>
      </w:r>
    </w:p>
  </w:endnote>
  <w:endnote w:type="continuationSeparator" w:id="0">
    <w:p w14:paraId="09E14FE8" w14:textId="77777777" w:rsidR="00FE5B9E" w:rsidRDefault="00FE5B9E" w:rsidP="0035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1572" w14:textId="77777777" w:rsidR="00FE5B9E" w:rsidRDefault="00FE5B9E" w:rsidP="00353FF1">
      <w:r>
        <w:separator/>
      </w:r>
    </w:p>
  </w:footnote>
  <w:footnote w:type="continuationSeparator" w:id="0">
    <w:p w14:paraId="09AFDD1B" w14:textId="77777777" w:rsidR="00FE5B9E" w:rsidRDefault="00FE5B9E" w:rsidP="0035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63E4" w14:textId="5C99953D" w:rsidR="00353FF1" w:rsidRDefault="00353FF1">
    <w:pPr>
      <w:pStyle w:val="Header"/>
    </w:pPr>
    <w:r>
      <w:rPr>
        <w:noProof/>
      </w:rPr>
      <w:drawing>
        <wp:inline distT="0" distB="0" distL="0" distR="0" wp14:anchorId="0AFF303C" wp14:editId="7AEA36EC">
          <wp:extent cx="1272208" cy="30745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23 at 5.19.11 PM.png"/>
                  <pic:cNvPicPr/>
                </pic:nvPicPr>
                <pic:blipFill rotWithShape="1">
                  <a:blip r:embed="rId1">
                    <a:extLst>
                      <a:ext uri="{28A0092B-C50C-407E-A947-70E740481C1C}">
                        <a14:useLocalDpi xmlns:a14="http://schemas.microsoft.com/office/drawing/2010/main" val="0"/>
                      </a:ext>
                    </a:extLst>
                  </a:blip>
                  <a:srcRect l="1184" t="5002" b="-1"/>
                  <a:stretch/>
                </pic:blipFill>
                <pic:spPr bwMode="auto">
                  <a:xfrm>
                    <a:off x="0" y="0"/>
                    <a:ext cx="1313242" cy="3173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65F20"/>
    <w:multiLevelType w:val="multilevel"/>
    <w:tmpl w:val="24FAF6DC"/>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371FC8"/>
    <w:multiLevelType w:val="hybridMultilevel"/>
    <w:tmpl w:val="EBC0B3DA"/>
    <w:lvl w:ilvl="0" w:tplc="367A47D4">
      <w:start w:val="1"/>
      <w:numFmt w:val="bullet"/>
      <w:lvlText w:val="·"/>
      <w:lvlJc w:val="left"/>
      <w:pPr>
        <w:ind w:left="720" w:hanging="360"/>
      </w:pPr>
      <w:rPr>
        <w:rFonts w:ascii="Symbol" w:hAnsi="Symbol" w:hint="default"/>
      </w:rPr>
    </w:lvl>
    <w:lvl w:ilvl="1" w:tplc="E10E9294">
      <w:start w:val="1"/>
      <w:numFmt w:val="bullet"/>
      <w:lvlText w:val="o"/>
      <w:lvlJc w:val="left"/>
      <w:pPr>
        <w:ind w:left="1440" w:hanging="360"/>
      </w:pPr>
      <w:rPr>
        <w:rFonts w:ascii="Courier New" w:hAnsi="Courier New" w:hint="default"/>
      </w:rPr>
    </w:lvl>
    <w:lvl w:ilvl="2" w:tplc="AFACC442">
      <w:start w:val="1"/>
      <w:numFmt w:val="bullet"/>
      <w:lvlText w:val=""/>
      <w:lvlJc w:val="left"/>
      <w:pPr>
        <w:ind w:left="2160" w:hanging="360"/>
      </w:pPr>
      <w:rPr>
        <w:rFonts w:ascii="Wingdings" w:hAnsi="Wingdings" w:hint="default"/>
      </w:rPr>
    </w:lvl>
    <w:lvl w:ilvl="3" w:tplc="B720D9E0">
      <w:start w:val="1"/>
      <w:numFmt w:val="bullet"/>
      <w:lvlText w:val=""/>
      <w:lvlJc w:val="left"/>
      <w:pPr>
        <w:ind w:left="2880" w:hanging="360"/>
      </w:pPr>
      <w:rPr>
        <w:rFonts w:ascii="Symbol" w:hAnsi="Symbol" w:hint="default"/>
      </w:rPr>
    </w:lvl>
    <w:lvl w:ilvl="4" w:tplc="12300860">
      <w:start w:val="1"/>
      <w:numFmt w:val="bullet"/>
      <w:lvlText w:val="o"/>
      <w:lvlJc w:val="left"/>
      <w:pPr>
        <w:ind w:left="3600" w:hanging="360"/>
      </w:pPr>
      <w:rPr>
        <w:rFonts w:ascii="Courier New" w:hAnsi="Courier New" w:hint="default"/>
      </w:rPr>
    </w:lvl>
    <w:lvl w:ilvl="5" w:tplc="CFD4B4BA">
      <w:start w:val="1"/>
      <w:numFmt w:val="bullet"/>
      <w:lvlText w:val=""/>
      <w:lvlJc w:val="left"/>
      <w:pPr>
        <w:ind w:left="4320" w:hanging="360"/>
      </w:pPr>
      <w:rPr>
        <w:rFonts w:ascii="Wingdings" w:hAnsi="Wingdings" w:hint="default"/>
      </w:rPr>
    </w:lvl>
    <w:lvl w:ilvl="6" w:tplc="B25C04B0">
      <w:start w:val="1"/>
      <w:numFmt w:val="bullet"/>
      <w:lvlText w:val=""/>
      <w:lvlJc w:val="left"/>
      <w:pPr>
        <w:ind w:left="5040" w:hanging="360"/>
      </w:pPr>
      <w:rPr>
        <w:rFonts w:ascii="Symbol" w:hAnsi="Symbol" w:hint="default"/>
      </w:rPr>
    </w:lvl>
    <w:lvl w:ilvl="7" w:tplc="12DE19D6">
      <w:start w:val="1"/>
      <w:numFmt w:val="bullet"/>
      <w:lvlText w:val="o"/>
      <w:lvlJc w:val="left"/>
      <w:pPr>
        <w:ind w:left="5760" w:hanging="360"/>
      </w:pPr>
      <w:rPr>
        <w:rFonts w:ascii="Courier New" w:hAnsi="Courier New" w:hint="default"/>
      </w:rPr>
    </w:lvl>
    <w:lvl w:ilvl="8" w:tplc="A106E2B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DA3829"/>
    <w:rsid w:val="00000861"/>
    <w:rsid w:val="000336DA"/>
    <w:rsid w:val="000633E0"/>
    <w:rsid w:val="000802E2"/>
    <w:rsid w:val="0009144E"/>
    <w:rsid w:val="000B11ED"/>
    <w:rsid w:val="000B411C"/>
    <w:rsid w:val="000E64CD"/>
    <w:rsid w:val="000E6970"/>
    <w:rsid w:val="001347F3"/>
    <w:rsid w:val="00144BE6"/>
    <w:rsid w:val="00164C3B"/>
    <w:rsid w:val="00167768"/>
    <w:rsid w:val="00181C47"/>
    <w:rsid w:val="00183870"/>
    <w:rsid w:val="00190103"/>
    <w:rsid w:val="001938C2"/>
    <w:rsid w:val="00194C0C"/>
    <w:rsid w:val="001B24A2"/>
    <w:rsid w:val="001B3964"/>
    <w:rsid w:val="001F7C77"/>
    <w:rsid w:val="00241688"/>
    <w:rsid w:val="00277D93"/>
    <w:rsid w:val="00286258"/>
    <w:rsid w:val="002B6D12"/>
    <w:rsid w:val="002D25A7"/>
    <w:rsid w:val="00313644"/>
    <w:rsid w:val="003154C1"/>
    <w:rsid w:val="00315841"/>
    <w:rsid w:val="0034097E"/>
    <w:rsid w:val="00353FF1"/>
    <w:rsid w:val="00372DBB"/>
    <w:rsid w:val="00397A55"/>
    <w:rsid w:val="003D03FD"/>
    <w:rsid w:val="00454535"/>
    <w:rsid w:val="004650CB"/>
    <w:rsid w:val="004D0E0A"/>
    <w:rsid w:val="004D588D"/>
    <w:rsid w:val="005066BE"/>
    <w:rsid w:val="005360A4"/>
    <w:rsid w:val="005E314F"/>
    <w:rsid w:val="005E7105"/>
    <w:rsid w:val="005F782D"/>
    <w:rsid w:val="00612A56"/>
    <w:rsid w:val="006232AE"/>
    <w:rsid w:val="00645522"/>
    <w:rsid w:val="00661A4E"/>
    <w:rsid w:val="00663D23"/>
    <w:rsid w:val="00672057"/>
    <w:rsid w:val="006806B5"/>
    <w:rsid w:val="006C3CD2"/>
    <w:rsid w:val="006C6A2D"/>
    <w:rsid w:val="006C72A0"/>
    <w:rsid w:val="006D3B03"/>
    <w:rsid w:val="006D7D1E"/>
    <w:rsid w:val="00725490"/>
    <w:rsid w:val="00733966"/>
    <w:rsid w:val="00740EF9"/>
    <w:rsid w:val="00746584"/>
    <w:rsid w:val="007529B6"/>
    <w:rsid w:val="00764890"/>
    <w:rsid w:val="007A4DB3"/>
    <w:rsid w:val="007D6C0B"/>
    <w:rsid w:val="007F1E36"/>
    <w:rsid w:val="007F7594"/>
    <w:rsid w:val="0082080D"/>
    <w:rsid w:val="00865367"/>
    <w:rsid w:val="00894D4D"/>
    <w:rsid w:val="008B6301"/>
    <w:rsid w:val="008C73E2"/>
    <w:rsid w:val="008E47CF"/>
    <w:rsid w:val="008F6DB0"/>
    <w:rsid w:val="0093704F"/>
    <w:rsid w:val="00951DAB"/>
    <w:rsid w:val="0095574A"/>
    <w:rsid w:val="00981D22"/>
    <w:rsid w:val="009C3611"/>
    <w:rsid w:val="009F68B4"/>
    <w:rsid w:val="00A00CCA"/>
    <w:rsid w:val="00A63513"/>
    <w:rsid w:val="00A65FC2"/>
    <w:rsid w:val="00A8486B"/>
    <w:rsid w:val="00A85318"/>
    <w:rsid w:val="00A87502"/>
    <w:rsid w:val="00A87EE9"/>
    <w:rsid w:val="00A909E0"/>
    <w:rsid w:val="00B22FDE"/>
    <w:rsid w:val="00B26CF2"/>
    <w:rsid w:val="00B318FC"/>
    <w:rsid w:val="00B51399"/>
    <w:rsid w:val="00BB096A"/>
    <w:rsid w:val="00BB4EB0"/>
    <w:rsid w:val="00BC742B"/>
    <w:rsid w:val="00BD164E"/>
    <w:rsid w:val="00BE2E98"/>
    <w:rsid w:val="00C044B3"/>
    <w:rsid w:val="00C06174"/>
    <w:rsid w:val="00C368DB"/>
    <w:rsid w:val="00C869ED"/>
    <w:rsid w:val="00C9252D"/>
    <w:rsid w:val="00CA476F"/>
    <w:rsid w:val="00CB56F0"/>
    <w:rsid w:val="00CE3E57"/>
    <w:rsid w:val="00CE6E98"/>
    <w:rsid w:val="00CF0376"/>
    <w:rsid w:val="00CF269F"/>
    <w:rsid w:val="00D603F0"/>
    <w:rsid w:val="00D7626B"/>
    <w:rsid w:val="00D911AC"/>
    <w:rsid w:val="00DB05BD"/>
    <w:rsid w:val="00DE4C66"/>
    <w:rsid w:val="00DE5139"/>
    <w:rsid w:val="00E05012"/>
    <w:rsid w:val="00E15C85"/>
    <w:rsid w:val="00E27AE7"/>
    <w:rsid w:val="00E71555"/>
    <w:rsid w:val="00E822CF"/>
    <w:rsid w:val="00E93104"/>
    <w:rsid w:val="00E95810"/>
    <w:rsid w:val="00EA7B2B"/>
    <w:rsid w:val="00EC1010"/>
    <w:rsid w:val="00ED04F9"/>
    <w:rsid w:val="00F04B82"/>
    <w:rsid w:val="00F62466"/>
    <w:rsid w:val="00F75ED4"/>
    <w:rsid w:val="00F930F5"/>
    <w:rsid w:val="00F96D7D"/>
    <w:rsid w:val="00FE5B9E"/>
    <w:rsid w:val="0852C641"/>
    <w:rsid w:val="0B467603"/>
    <w:rsid w:val="2947F1CC"/>
    <w:rsid w:val="2A90B12E"/>
    <w:rsid w:val="3C6BF0AA"/>
    <w:rsid w:val="42B5EF90"/>
    <w:rsid w:val="561CDFBF"/>
    <w:rsid w:val="58E1F6A3"/>
    <w:rsid w:val="603A165D"/>
    <w:rsid w:val="60DA3829"/>
    <w:rsid w:val="615DC371"/>
    <w:rsid w:val="6D618271"/>
    <w:rsid w:val="709FCA09"/>
    <w:rsid w:val="7386F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829"/>
  <w15:chartTrackingRefBased/>
  <w15:docId w15:val="{690C3871-5A1A-4BAD-B0A9-D8C96D22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8B6301"/>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6301"/>
  </w:style>
  <w:style w:type="character" w:customStyle="1" w:styleId="eop">
    <w:name w:val="eop"/>
    <w:basedOn w:val="DefaultParagraphFont"/>
    <w:rsid w:val="008B6301"/>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53FF1"/>
    <w:pPr>
      <w:tabs>
        <w:tab w:val="center" w:pos="4680"/>
        <w:tab w:val="right" w:pos="9360"/>
      </w:tabs>
    </w:pPr>
  </w:style>
  <w:style w:type="character" w:customStyle="1" w:styleId="HeaderChar">
    <w:name w:val="Header Char"/>
    <w:basedOn w:val="DefaultParagraphFont"/>
    <w:link w:val="Header"/>
    <w:uiPriority w:val="99"/>
    <w:rsid w:val="00353FF1"/>
  </w:style>
  <w:style w:type="paragraph" w:styleId="Footer">
    <w:name w:val="footer"/>
    <w:basedOn w:val="Normal"/>
    <w:link w:val="FooterChar"/>
    <w:uiPriority w:val="99"/>
    <w:unhideWhenUsed/>
    <w:rsid w:val="00353FF1"/>
    <w:pPr>
      <w:tabs>
        <w:tab w:val="center" w:pos="4680"/>
        <w:tab w:val="right" w:pos="9360"/>
      </w:tabs>
    </w:pPr>
  </w:style>
  <w:style w:type="character" w:customStyle="1" w:styleId="FooterChar">
    <w:name w:val="Footer Char"/>
    <w:basedOn w:val="DefaultParagraphFont"/>
    <w:link w:val="Footer"/>
    <w:uiPriority w:val="99"/>
    <w:rsid w:val="0035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acu.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oi.org/10.2307/11633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i.org/10.1080/0951839070163076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ationalequityproject.org/about/social-emotional-learning-equ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dker.org/curricularbia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021E66F4ED9469B8E2B0D768E6ABA" ma:contentTypeVersion="12" ma:contentTypeDescription="Create a new document." ma:contentTypeScope="" ma:versionID="b02132002bb372f418b82221e95eba63">
  <xsd:schema xmlns:xsd="http://www.w3.org/2001/XMLSchema" xmlns:xs="http://www.w3.org/2001/XMLSchema" xmlns:p="http://schemas.microsoft.com/office/2006/metadata/properties" xmlns:ns2="e339fe60-6b46-405c-96b9-25a91f25abe1" xmlns:ns3="be0ec619-8853-4e71-9286-599a9bfcd64a" targetNamespace="http://schemas.microsoft.com/office/2006/metadata/properties" ma:root="true" ma:fieldsID="da88cb9d9b4d0152daf44a8fe73c1626" ns2:_="" ns3:_="">
    <xsd:import namespace="e339fe60-6b46-405c-96b9-25a91f25abe1"/>
    <xsd:import namespace="be0ec619-8853-4e71-9286-599a9bfcd6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9fe60-6b46-405c-96b9-25a91f25a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0ec619-8853-4e71-9286-599a9bfcd64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C1F6D-3B76-4946-AF6A-7D4C87E1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9fe60-6b46-405c-96b9-25a91f25abe1"/>
    <ds:schemaRef ds:uri="be0ec619-8853-4e71-9286-599a9bfc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86ABAF-779D-4EFB-8EE3-3CBA0B993842}">
  <ds:schemaRefs>
    <ds:schemaRef ds:uri="http://schemas.microsoft.com/sharepoint/v3/contenttype/forms"/>
  </ds:schemaRefs>
</ds:datastoreItem>
</file>

<file path=customXml/itemProps3.xml><?xml version="1.0" encoding="utf-8"?>
<ds:datastoreItem xmlns:ds="http://schemas.openxmlformats.org/officeDocument/2006/customXml" ds:itemID="{9ACD7CD9-4E5D-4478-B988-3C389762E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Pagliaro, Susan</dc:creator>
  <cp:keywords/>
  <dc:description/>
  <cp:lastModifiedBy>LaBounty-McNair, Steven</cp:lastModifiedBy>
  <cp:revision>2</cp:revision>
  <dcterms:created xsi:type="dcterms:W3CDTF">2020-06-25T13:42:00Z</dcterms:created>
  <dcterms:modified xsi:type="dcterms:W3CDTF">2020-06-25T13:42:00Z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0x010100A38021E66F4ED9469B8E2B0D768E6ABA</vt:lpwstr>
  </property>
</Properties>
</file>